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37" w:type="dxa"/>
        <w:tblLook w:val="04A0" w:firstRow="1" w:lastRow="0" w:firstColumn="1" w:lastColumn="0" w:noHBand="0" w:noVBand="1"/>
      </w:tblPr>
      <w:tblGrid>
        <w:gridCol w:w="1668"/>
        <w:gridCol w:w="3118"/>
        <w:gridCol w:w="654"/>
        <w:gridCol w:w="1370"/>
        <w:gridCol w:w="3327"/>
      </w:tblGrid>
      <w:tr w:rsidR="00985F64" w:rsidRPr="00911657" w:rsidTr="008237D7">
        <w:trPr>
          <w:trHeight w:val="454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9D7F9A" w:rsidRPr="00911657" w:rsidRDefault="007367F9" w:rsidP="00823193">
            <w:pPr>
              <w:spacing w:before="12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shd w:val="clear" w:color="auto" w:fill="DBE5F1" w:themeFill="accent1" w:themeFillTint="33"/>
                <w:lang w:val="hy-AM"/>
              </w:rPr>
            </w:pPr>
            <w:r w:rsidRPr="00911657">
              <w:rPr>
                <w:rFonts w:ascii="GHEA Grapalat" w:hAnsi="GHEA Grapalat" w:cs="Sylfaen"/>
                <w:b/>
                <w:sz w:val="20"/>
                <w:szCs w:val="20"/>
                <w:shd w:val="clear" w:color="auto" w:fill="DBE5F1" w:themeFill="accent1" w:themeFillTint="33"/>
                <w:lang w:val="hy-AM"/>
              </w:rPr>
              <w:t>ՊԱՅՄԱՆԱԳԻՐ</w:t>
            </w:r>
            <w:r w:rsidRPr="00911657">
              <w:rPr>
                <w:rFonts w:ascii="GHEA Grapalat" w:hAnsi="GHEA Grapalat"/>
                <w:b/>
                <w:sz w:val="20"/>
                <w:szCs w:val="20"/>
                <w:shd w:val="clear" w:color="auto" w:fill="DBE5F1" w:themeFill="accent1" w:themeFillTint="33"/>
                <w:lang w:val="hy-AM"/>
              </w:rPr>
              <w:t xml:space="preserve"> </w:t>
            </w:r>
          </w:p>
          <w:p w:rsidR="009D7F9A" w:rsidRPr="00911657" w:rsidRDefault="009D7F9A" w:rsidP="003521B1">
            <w:pPr>
              <w:spacing w:after="40"/>
              <w:jc w:val="center"/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shd w:val="clear" w:color="auto" w:fill="DBE5F1" w:themeFill="accent1" w:themeFillTint="33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 xml:space="preserve">պատշաճ </w:t>
            </w:r>
            <w:r w:rsidR="003521B1"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բաշխման</w:t>
            </w:r>
            <w:r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 xml:space="preserve"> գործունեության համապատասխա</w:t>
            </w:r>
            <w:r w:rsidR="0041589B"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ն</w:t>
            </w:r>
            <w:r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ության</w:t>
            </w:r>
            <w:r w:rsidR="00823193"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դիտարկ</w:t>
            </w:r>
            <w:r w:rsidR="00887BB0" w:rsidRPr="00911657">
              <w:rPr>
                <w:rFonts w:ascii="GHEA Grapalat" w:hAnsi="GHEA Grapalat" w:cs="Sylfaen"/>
                <w:i/>
                <w:sz w:val="20"/>
                <w:szCs w:val="20"/>
                <w:shd w:val="clear" w:color="auto" w:fill="DBE5F1" w:themeFill="accent1" w:themeFillTint="33"/>
                <w:lang w:val="hy-AM"/>
              </w:rPr>
              <w:t>ման</w:t>
            </w:r>
          </w:p>
        </w:tc>
      </w:tr>
      <w:tr w:rsidR="0072468B" w:rsidRPr="00911657" w:rsidTr="008237D7">
        <w:trPr>
          <w:trHeight w:val="456"/>
        </w:trPr>
        <w:tc>
          <w:tcPr>
            <w:tcW w:w="4786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72468B" w:rsidRPr="00911657" w:rsidRDefault="0072468B" w:rsidP="00FB0A17">
            <w:pPr>
              <w:tabs>
                <w:tab w:val="center" w:pos="1576"/>
              </w:tabs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ք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Երևան</w:t>
            </w:r>
          </w:p>
        </w:tc>
        <w:tc>
          <w:tcPr>
            <w:tcW w:w="5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1589B" w:rsidRPr="00911657" w:rsidRDefault="00C95E42" w:rsidP="0041589B">
            <w:pPr>
              <w:tabs>
                <w:tab w:val="left" w:pos="742"/>
              </w:tabs>
              <w:spacing w:line="276" w:lineRule="auto"/>
              <w:ind w:left="1167"/>
              <w:jc w:val="righ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887BB0" w:rsidRPr="00911657">
              <w:rPr>
                <w:rFonts w:ascii="GHEA Grapalat" w:hAnsi="GHEA Grapalat"/>
                <w:sz w:val="20"/>
                <w:szCs w:val="20"/>
                <w:lang w:val="hy-AM"/>
              </w:rPr>
              <w:t>-/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887BB0" w:rsidRPr="00911657">
              <w:rPr>
                <w:rFonts w:ascii="GHEA Grapalat" w:hAnsi="GHEA Grapalat"/>
                <w:sz w:val="20"/>
                <w:szCs w:val="20"/>
                <w:lang w:val="hy-AM"/>
              </w:rPr>
              <w:t>-/-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---</w:t>
            </w:r>
            <w:r w:rsidR="0072468B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="0041589B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</w:tr>
      <w:tr w:rsidR="00985F64" w:rsidRPr="001A3BFA" w:rsidTr="008237D7">
        <w:trPr>
          <w:trHeight w:val="465"/>
        </w:trPr>
        <w:tc>
          <w:tcPr>
            <w:tcW w:w="10137" w:type="dxa"/>
            <w:gridSpan w:val="5"/>
          </w:tcPr>
          <w:p w:rsidR="0041589B" w:rsidRPr="00911657" w:rsidRDefault="0041589B" w:rsidP="00E819CC">
            <w:pPr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1589B" w:rsidRPr="00911657" w:rsidRDefault="0041589B" w:rsidP="00E819CC">
            <w:pPr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«_________________________________»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>__________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դեմս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տնօրեն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_________________</w:t>
            </w:r>
          </w:p>
          <w:p w:rsidR="0041589B" w:rsidRPr="00911657" w:rsidRDefault="0041589B" w:rsidP="00E819CC">
            <w:pPr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այսուհետ՝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այտատո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ւ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),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մի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  <w:p w:rsidR="0041589B" w:rsidRPr="00911657" w:rsidRDefault="0041589B" w:rsidP="00E819CC">
            <w:pPr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                                                    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985F64" w:rsidRPr="00911657" w:rsidRDefault="00985F64" w:rsidP="00596136">
            <w:pPr>
              <w:spacing w:after="8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Ակադեմիկոս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="00596136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 xml:space="preserve">Էմիլ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Գաբրիելյանի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անվան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դեղերի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և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բժշկական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տեխնոլոգիաների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փորձագիտական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կենտրոն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ՓԲԸ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>-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ն</w:t>
            </w:r>
            <w:r w:rsidR="0041589B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` ի</w:t>
            </w:r>
            <w:r w:rsidR="0041589B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="0041589B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դեմս</w:t>
            </w:r>
            <w:r w:rsidR="0041589B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 </w:t>
            </w:r>
            <w:r w:rsidR="0041589B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տնօրեն</w:t>
            </w:r>
            <w:r w:rsidR="0041589B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Արայիկ Բաղրյանի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="0041589B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(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այսուհետ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`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Կ</w:t>
            </w:r>
            <w:r w:rsidR="00392FCF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ենտրոն</w:t>
            </w:r>
            <w:r w:rsidR="0041589B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>)</w:t>
            </w:r>
            <w:r w:rsidR="008A42C8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>, մյուս կողմից</w:t>
            </w:r>
            <w:r w:rsidR="001803B1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>,</w:t>
            </w:r>
            <w:r w:rsidR="008A42C8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որոնք համատեղ հիշատակման դեպքում կանվանվեն Կողմեր,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կնքեցին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սույն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պայմանագիրը</w:t>
            </w:r>
            <w:r w:rsidR="008A42C8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 xml:space="preserve"> (այսուհետ՝ Պայմանագիր)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հետևյալի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մասին</w:t>
            </w:r>
            <w:r w:rsidR="00887BB0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>.</w:t>
            </w:r>
          </w:p>
        </w:tc>
      </w:tr>
      <w:tr w:rsidR="00985F64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985F64" w:rsidRPr="00911657" w:rsidRDefault="00985F64" w:rsidP="00E819CC">
            <w:pPr>
              <w:pStyle w:val="ListParagraph"/>
              <w:numPr>
                <w:ilvl w:val="0"/>
                <w:numId w:val="5"/>
              </w:numPr>
              <w:spacing w:after="80"/>
              <w:ind w:left="284" w:hanging="284"/>
              <w:jc w:val="center"/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ՊԱՅՄԱՆԱԳՐԻ</w:t>
            </w:r>
            <w:r w:rsidRPr="00911657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ԱՌԱՐԿԱՆ</w:t>
            </w:r>
          </w:p>
        </w:tc>
      </w:tr>
      <w:tr w:rsidR="00985F64" w:rsidRPr="00911657" w:rsidTr="008237D7">
        <w:trPr>
          <w:trHeight w:val="465"/>
        </w:trPr>
        <w:tc>
          <w:tcPr>
            <w:tcW w:w="10137" w:type="dxa"/>
            <w:gridSpan w:val="5"/>
          </w:tcPr>
          <w:p w:rsidR="00985F64" w:rsidRPr="00911657" w:rsidRDefault="008A42C8" w:rsidP="00DF7428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Պ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այմանագր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ի համաձայն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Կ</w:t>
            </w:r>
            <w:r w:rsidR="0004683D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ենտրոնը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պարտավորվում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իրականացնել պատշաճ </w:t>
            </w:r>
            <w:proofErr w:type="spellStart"/>
            <w:r w:rsidR="00DF7428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բաշխման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գործունեության 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համապատասխանության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դիտարկում</w:t>
            </w:r>
            <w:r w:rsidR="00714203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(այսուհետ՝ Դիտարկում)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իսկ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Հայտատուն 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պարտավորվում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="00985F64" w:rsidRPr="00911657">
              <w:rPr>
                <w:rFonts w:ascii="GHEA Grapalat" w:hAnsi="GHEA Grapalat" w:cs="Sylfaen"/>
                <w:sz w:val="20"/>
                <w:szCs w:val="20"/>
                <w:lang w:val="hy-AM" w:bidi="he-IL"/>
              </w:rPr>
              <w:t>է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/>
                <w:sz w:val="20"/>
                <w:szCs w:val="20"/>
                <w:lang w:val="hy-AM" w:bidi="he-IL"/>
              </w:rPr>
              <w:t>փոխհատուցել դիտարկման հետ կապված ծախսերը՝ Պայմանագրով սահմանված կարգով</w:t>
            </w:r>
            <w:r w:rsidR="00985F64" w:rsidRPr="00911657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985F64" w:rsidRPr="00911657" w:rsidTr="008237D7">
        <w:trPr>
          <w:trHeight w:val="465"/>
        </w:trPr>
        <w:tc>
          <w:tcPr>
            <w:tcW w:w="10137" w:type="dxa"/>
            <w:gridSpan w:val="5"/>
          </w:tcPr>
          <w:p w:rsidR="00985F64" w:rsidRPr="00911657" w:rsidRDefault="00714203" w:rsidP="00E819CC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Դիտարկումն իրականացվում է </w:t>
            </w:r>
            <w:r w:rsidR="009627A0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Հայաստանի Հանրապետության օրենսդրությամբ սահմանված կարգով: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9627A0" w:rsidRPr="00911657" w:rsidTr="008237D7">
        <w:trPr>
          <w:trHeight w:val="465"/>
        </w:trPr>
        <w:tc>
          <w:tcPr>
            <w:tcW w:w="10137" w:type="dxa"/>
            <w:gridSpan w:val="5"/>
          </w:tcPr>
          <w:p w:rsidR="009627A0" w:rsidRPr="00911657" w:rsidRDefault="009627A0" w:rsidP="00B96E62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Դիտարկվող </w:t>
            </w:r>
            <w:proofErr w:type="spellStart"/>
            <w:r w:rsidR="001F08E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յուրաքանչյուր</w:t>
            </w:r>
            <w:proofErr w:type="spellEnd"/>
            <w:r w:rsidR="001F08E0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B96E62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մատակարարի</w:t>
            </w:r>
            <w:proofErr w:type="spellEnd"/>
            <w:r w:rsidR="00B96E62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B96E62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անվանումը</w:t>
            </w:r>
            <w:proofErr w:type="spellEnd"/>
            <w:r w:rsidR="00B96E62" w:rsidRPr="00911657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="001F08E0" w:rsidRPr="00911657">
              <w:rPr>
                <w:rFonts w:ascii="GHEA Grapalat" w:hAnsi="GHEA Grapalat" w:cs="Sylfaen"/>
                <w:sz w:val="20"/>
                <w:szCs w:val="20"/>
              </w:rPr>
              <w:t>տարածքի</w:t>
            </w:r>
            <w:proofErr w:type="spellEnd"/>
            <w:r w:rsidR="001F08E0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հասցեն</w:t>
            </w:r>
            <w:r w:rsidR="001F08E0" w:rsidRPr="00911657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DF7428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DA2708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DA2708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Դիտարկման</w:t>
            </w:r>
            <w:proofErr w:type="spellEnd"/>
            <w:r w:rsidR="00DA2708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DA2708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ենթակա</w:t>
            </w:r>
            <w:proofErr w:type="spellEnd"/>
            <w:r w:rsidR="00DA2708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B96E62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արտադրանքը</w:t>
            </w:r>
            <w:proofErr w:type="spellEnd"/>
            <w:r w:rsidR="0036371A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և </w:t>
            </w:r>
            <w:proofErr w:type="spellStart"/>
            <w:r w:rsidR="00B96E62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գործընթացները</w:t>
            </w:r>
            <w:proofErr w:type="spellEnd"/>
            <w:r w:rsidR="00B96E62" w:rsidRPr="00911657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="00B96E62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ինչպես</w:t>
            </w:r>
            <w:proofErr w:type="spellEnd"/>
            <w:r w:rsidR="00B96E62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B96E62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նաև</w:t>
            </w:r>
            <w:proofErr w:type="spellEnd"/>
            <w:r w:rsidR="00B96E62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733FC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իտարկման  իրականացման ժամկետը նշվում են Պայմանագրի  հավելվածներում (այսուհետ՝ Հավելված), որոնք կազմում են  Պայմանագրի 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անբաժանելի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մասը: </w:t>
            </w:r>
          </w:p>
        </w:tc>
      </w:tr>
      <w:tr w:rsidR="001C598E" w:rsidRPr="00911657" w:rsidTr="008237D7">
        <w:trPr>
          <w:trHeight w:val="465"/>
        </w:trPr>
        <w:tc>
          <w:tcPr>
            <w:tcW w:w="10137" w:type="dxa"/>
            <w:gridSpan w:val="5"/>
          </w:tcPr>
          <w:p w:rsidR="001C598E" w:rsidRPr="00911657" w:rsidRDefault="001C598E" w:rsidP="00E819CC">
            <w:pPr>
              <w:pStyle w:val="ListParagraph"/>
              <w:numPr>
                <w:ilvl w:val="1"/>
                <w:numId w:val="5"/>
              </w:numPr>
              <w:spacing w:after="80"/>
              <w:ind w:left="993" w:hanging="633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Դիտարկմանն առնչվող հասկացությունները Պայման</w:t>
            </w:r>
            <w:r w:rsidR="009627A0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գրում կիրառվում են Հայաստանի Հանրապետության 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օրենսդրությամբ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սահմանված իմաստներով:</w:t>
            </w:r>
          </w:p>
        </w:tc>
      </w:tr>
      <w:tr w:rsidR="00985F64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985F64" w:rsidRPr="00911657" w:rsidRDefault="00985F64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ԿՈՂՄԵՐԻ</w:t>
            </w:r>
            <w:r w:rsidRPr="00911657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ԻՐԱՎՈՒՆՔՆԵՐԸ</w:t>
            </w:r>
            <w:r w:rsidRPr="00911657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="00451B22" w:rsidRPr="00911657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ԵՎ</w:t>
            </w:r>
            <w:r w:rsidRPr="00911657">
              <w:rPr>
                <w:rFonts w:ascii="GHEA Grapalat" w:hAnsi="GHEA Grapalat"/>
                <w:b/>
                <w:iCs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b/>
                <w:iCs/>
                <w:sz w:val="20"/>
                <w:szCs w:val="20"/>
                <w:lang w:val="hy-AM"/>
              </w:rPr>
              <w:t>ՊԱՐՏԱԿԱՆՈՒԹՅՈՒՆՆԵՐԸ</w:t>
            </w:r>
          </w:p>
        </w:tc>
      </w:tr>
      <w:tr w:rsidR="00985F64" w:rsidRPr="00911657" w:rsidTr="008237D7">
        <w:trPr>
          <w:trHeight w:val="454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:rsidR="00985F64" w:rsidRPr="00911657" w:rsidRDefault="00985F64" w:rsidP="0004683D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="001C598E"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</w:t>
            </w:r>
            <w:r w:rsidR="0004683D"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ենտրոն</w:t>
            </w:r>
            <w:r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</w:t>
            </w:r>
            <w:r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պարտավոր</w:t>
            </w:r>
            <w:r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է</w:t>
            </w:r>
            <w:r w:rsidR="001C598E"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՝</w:t>
            </w:r>
          </w:p>
        </w:tc>
      </w:tr>
      <w:tr w:rsidR="00985F64" w:rsidRPr="00911657" w:rsidTr="008237D7">
        <w:trPr>
          <w:trHeight w:val="465"/>
        </w:trPr>
        <w:tc>
          <w:tcPr>
            <w:tcW w:w="10137" w:type="dxa"/>
            <w:gridSpan w:val="5"/>
          </w:tcPr>
          <w:p w:rsidR="00985F64" w:rsidRPr="00911657" w:rsidRDefault="004B5A39" w:rsidP="004B5A39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en-US"/>
              </w:rPr>
              <w:t>Պ</w:t>
            </w:r>
            <w:r w:rsidR="00E040FB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այմանագրով սահմանված կարգով </w:t>
            </w:r>
            <w:r w:rsidRPr="00911657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11657">
              <w:rPr>
                <w:rFonts w:ascii="GHEA Grapalat" w:hAnsi="GHEA Grapalat"/>
                <w:sz w:val="20"/>
                <w:szCs w:val="20"/>
                <w:lang w:val="en-US"/>
              </w:rPr>
              <w:t>ժամկետում</w:t>
            </w:r>
            <w:proofErr w:type="spellEnd"/>
            <w:r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040FB" w:rsidRPr="00911657">
              <w:rPr>
                <w:rFonts w:ascii="GHEA Grapalat" w:hAnsi="GHEA Grapalat"/>
                <w:sz w:val="20"/>
                <w:szCs w:val="20"/>
                <w:lang w:val="hy-AM"/>
              </w:rPr>
              <w:t>կատարել ստանձնած պարտավորությունները` ղեկավարվելով Հայաuտանի Հանրապետության oրենuդրությամբ</w:t>
            </w:r>
            <w:r w:rsidRPr="0091165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0552BF" w:rsidRPr="00911657" w:rsidTr="008237D7">
        <w:trPr>
          <w:trHeight w:val="465"/>
        </w:trPr>
        <w:tc>
          <w:tcPr>
            <w:tcW w:w="10137" w:type="dxa"/>
            <w:gridSpan w:val="5"/>
          </w:tcPr>
          <w:p w:rsidR="000552BF" w:rsidRPr="00911657" w:rsidRDefault="004F0A68" w:rsidP="00C248C7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Դիտարկ</w:t>
            </w:r>
            <w:r w:rsidR="00DE002B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ման գործընթացում </w:t>
            </w:r>
            <w:r w:rsidR="00CA3C58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չ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ներգրավել</w:t>
            </w:r>
            <w:r w:rsidR="00DE002B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երրորդ 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անձանց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՝ եթե Կողմերն այ</w:t>
            </w:r>
            <w:r w:rsidR="004B5A3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լ գրավոր համաձայնություն չկնքեն</w:t>
            </w:r>
            <w:r w:rsidR="004B5A39" w:rsidRPr="00911657"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</w:tc>
      </w:tr>
      <w:tr w:rsidR="000552BF" w:rsidRPr="00911657" w:rsidTr="008237D7">
        <w:trPr>
          <w:trHeight w:val="465"/>
        </w:trPr>
        <w:tc>
          <w:tcPr>
            <w:tcW w:w="10137" w:type="dxa"/>
            <w:gridSpan w:val="5"/>
          </w:tcPr>
          <w:p w:rsidR="000552BF" w:rsidRPr="00911657" w:rsidRDefault="004F0A68" w:rsidP="00C23782">
            <w:pPr>
              <w:pStyle w:val="ListParagraph"/>
              <w:numPr>
                <w:ilvl w:val="2"/>
                <w:numId w:val="5"/>
              </w:numPr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անհապաղ և գրավոր կերպով տեղեկացնել Հայտատուին</w:t>
            </w:r>
            <w:r w:rsidR="00BF62A3" w:rsidRPr="00911657">
              <w:rPr>
                <w:rFonts w:ascii="GHEA Grapalat" w:hAnsi="GHEA Grapalat"/>
                <w:sz w:val="20"/>
                <w:szCs w:val="20"/>
                <w:lang w:val="en-US"/>
              </w:rPr>
              <w:t>՝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33FC9" w:rsidRPr="00911657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իտարկման գործընթացի </w:t>
            </w:r>
            <w:r w:rsidR="00C23782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ցանկացած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խոչընդոտ</w:t>
            </w:r>
            <w:r w:rsidR="00B96E62" w:rsidRPr="00911657"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մասին, որը կարող է նշանակալիորեն ազդել Դիտարկման արդյունքի վրա կամ Հայտատուի համար առաջացնել այլ բացասական հետևանք</w:t>
            </w:r>
            <w:proofErr w:type="spellStart"/>
            <w:r w:rsidR="00BF62A3" w:rsidRPr="00911657">
              <w:rPr>
                <w:rFonts w:ascii="GHEA Grapalat" w:hAnsi="GHEA Grapalat"/>
                <w:sz w:val="20"/>
                <w:szCs w:val="20"/>
                <w:lang w:val="en-US"/>
              </w:rPr>
              <w:t>ներ</w:t>
            </w:r>
            <w:proofErr w:type="spellEnd"/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</w:tr>
      <w:tr w:rsidR="000552BF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:rsidR="000552BF" w:rsidRPr="00911657" w:rsidRDefault="000552BF" w:rsidP="0004683D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</w:t>
            </w:r>
            <w:r w:rsidR="0004683D"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ենտրո</w:t>
            </w:r>
            <w:r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r w:rsidR="0004683D" w:rsidRPr="0091165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</w:t>
            </w:r>
            <w:r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իրավունք ունի</w:t>
            </w:r>
            <w:r w:rsidR="00136D2D"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`</w:t>
            </w:r>
          </w:p>
        </w:tc>
      </w:tr>
      <w:tr w:rsidR="000552BF" w:rsidRPr="0091165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0552BF" w:rsidRPr="00911657" w:rsidRDefault="004F0A68" w:rsidP="00F9569D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պահանջել </w:t>
            </w:r>
            <w:r w:rsidR="00666A7D" w:rsidRPr="00911657">
              <w:rPr>
                <w:rFonts w:ascii="GHEA Grapalat" w:hAnsi="GHEA Grapalat"/>
                <w:sz w:val="20"/>
                <w:szCs w:val="20"/>
                <w:lang w:val="hy-AM"/>
              </w:rPr>
              <w:t>Դիտարկման հետ կապված  վճարումներ</w:t>
            </w:r>
            <w:r w:rsidR="00666A7D" w:rsidRPr="00911657"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 w:rsidR="00666A7D"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666A7D" w:rsidRPr="00911657">
              <w:rPr>
                <w:rFonts w:ascii="GHEA Grapalat" w:hAnsi="GHEA Grapalat"/>
                <w:sz w:val="20"/>
                <w:szCs w:val="20"/>
                <w:lang w:val="en-US"/>
              </w:rPr>
              <w:t>կատարումը</w:t>
            </w:r>
            <w:proofErr w:type="spellEnd"/>
            <w:r w:rsidR="00666A7D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Հայտատուի </w:t>
            </w:r>
            <w:proofErr w:type="spellStart"/>
            <w:r w:rsidR="00666A7D" w:rsidRPr="00911657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666A7D" w:rsidRPr="00911657">
              <w:rPr>
                <w:rFonts w:ascii="GHEA Grapalat" w:hAnsi="GHEA Grapalat"/>
                <w:sz w:val="20"/>
                <w:szCs w:val="20"/>
                <w:lang w:val="en-US"/>
              </w:rPr>
              <w:t>՝</w:t>
            </w:r>
            <w:r w:rsidR="00666A7D"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Պայմանագր</w:t>
            </w:r>
            <w:r w:rsidR="00126132" w:rsidRPr="00911657"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 w:rsidR="00126132" w:rsidRPr="00911657">
              <w:rPr>
                <w:rFonts w:ascii="GHEA Grapalat" w:hAnsi="GHEA Grapalat"/>
                <w:sz w:val="20"/>
                <w:szCs w:val="20"/>
              </w:rPr>
              <w:t xml:space="preserve"> 3-</w:t>
            </w:r>
            <w:proofErr w:type="spellStart"/>
            <w:r w:rsidR="00126132" w:rsidRPr="00911657">
              <w:rPr>
                <w:rFonts w:ascii="GHEA Grapalat" w:hAnsi="GHEA Grapalat"/>
                <w:sz w:val="20"/>
                <w:szCs w:val="20"/>
                <w:lang w:val="en-US"/>
              </w:rPr>
              <w:t>րդ</w:t>
            </w:r>
            <w:proofErr w:type="spellEnd"/>
            <w:r w:rsidR="000E3AD5"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0E3AD5" w:rsidRPr="00911657">
              <w:rPr>
                <w:rFonts w:ascii="GHEA Grapalat" w:hAnsi="GHEA Grapalat"/>
                <w:sz w:val="20"/>
                <w:szCs w:val="20"/>
                <w:lang w:val="en-US"/>
              </w:rPr>
              <w:t>մասով</w:t>
            </w:r>
            <w:proofErr w:type="spellEnd"/>
            <w:r w:rsidR="00126132"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սահմանված </w:t>
            </w:r>
            <w:proofErr w:type="spellStart"/>
            <w:r w:rsidR="00126132" w:rsidRPr="00911657">
              <w:rPr>
                <w:rFonts w:ascii="GHEA Grapalat" w:hAnsi="GHEA Grapalat"/>
                <w:sz w:val="20"/>
                <w:szCs w:val="20"/>
                <w:lang w:val="en-US"/>
              </w:rPr>
              <w:t>կարգով</w:t>
            </w:r>
            <w:proofErr w:type="spellEnd"/>
            <w:r w:rsidR="004B5A39" w:rsidRPr="0091165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4F0A68" w:rsidRPr="0091165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4F0A68" w:rsidRPr="00911657" w:rsidRDefault="00DE002B" w:rsidP="00126132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պահանջել </w:t>
            </w:r>
            <w:r w:rsidR="00733FC9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Դ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իտարկման համար անհրաժեշտ փաստաթղթերը և տեղեկությունները.</w:t>
            </w:r>
          </w:p>
        </w:tc>
      </w:tr>
      <w:tr w:rsidR="00DE002B" w:rsidRPr="0091165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DE002B" w:rsidRPr="00911657" w:rsidRDefault="00DE002B" w:rsidP="00100AC4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դադարեցնել Դիտարկման գործընթացը</w:t>
            </w:r>
            <w:r w:rsidR="00F9569D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Հայտատուի կողմից 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Հայաստանի Հանրապետության օրենսդրությամբ կամ </w:t>
            </w:r>
            <w:r w:rsidR="00100AC4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Պայման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գրով </w:t>
            </w:r>
            <w:r w:rsidR="002605F9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դիտարկմանն առնչվող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սահմանված պարտավորությունները չկատարելու դեպքում.</w:t>
            </w:r>
          </w:p>
        </w:tc>
      </w:tr>
      <w:tr w:rsidR="000552BF" w:rsidRPr="0091165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0552BF" w:rsidRPr="00911657" w:rsidRDefault="0038536B" w:rsidP="000420B1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="000552BF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րականացնել</w:t>
            </w:r>
            <w:r w:rsidR="000552BF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00AC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Դիտարկման պատշաճ </w:t>
            </w:r>
            <w:proofErr w:type="spellStart"/>
            <w:r w:rsidR="000420B1" w:rsidRPr="00911657">
              <w:rPr>
                <w:rFonts w:ascii="GHEA Grapalat" w:hAnsi="GHEA Grapalat"/>
                <w:sz w:val="20"/>
                <w:szCs w:val="20"/>
                <w:lang w:val="en-US"/>
              </w:rPr>
              <w:t>կատարման</w:t>
            </w:r>
            <w:proofErr w:type="spellEnd"/>
            <w:r w:rsidR="00100AC4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 </w:t>
            </w:r>
            <w:r w:rsidR="002605F9" w:rsidRPr="00911657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="004F0A68" w:rsidRPr="00911657">
              <w:rPr>
                <w:rFonts w:ascii="GHEA Grapalat" w:hAnsi="GHEA Grapalat"/>
                <w:sz w:val="20"/>
                <w:szCs w:val="20"/>
                <w:lang w:val="hy-AM"/>
              </w:rPr>
              <w:t>այաստանի Հանրապետության օրենսդրությամբ</w:t>
            </w:r>
            <w:r w:rsidR="000552BF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սահմանված անհրաժեշտ այլ գործողություններ:</w:t>
            </w:r>
          </w:p>
        </w:tc>
      </w:tr>
      <w:tr w:rsidR="000552BF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:rsidR="000552BF" w:rsidRPr="00911657" w:rsidRDefault="00F71A1D" w:rsidP="00E819C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Հայտատուն</w:t>
            </w:r>
            <w:r w:rsidR="000552BF"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պարտավոր է՝</w:t>
            </w:r>
          </w:p>
        </w:tc>
      </w:tr>
      <w:tr w:rsidR="000552BF" w:rsidRPr="0091165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0552BF" w:rsidRPr="00911657" w:rsidRDefault="00B13D00" w:rsidP="000E3AD5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վճարումներ՝ Պայմանագր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ի</w:t>
            </w:r>
            <w:r w:rsidRPr="00911657">
              <w:rPr>
                <w:rFonts w:ascii="GHEA Grapalat" w:hAnsi="GHEA Grapalat" w:cs="Sylfaen"/>
                <w:sz w:val="20"/>
                <w:szCs w:val="20"/>
              </w:rPr>
              <w:t xml:space="preserve"> 3-</w:t>
            </w:r>
            <w:proofErr w:type="spellStart"/>
            <w:r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րդ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0E3AD5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մասով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սահմանված</w:t>
            </w:r>
            <w:proofErr w:type="spellEnd"/>
            <w:r w:rsidR="00750D82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կարգով.</w:t>
            </w:r>
          </w:p>
        </w:tc>
      </w:tr>
      <w:tr w:rsidR="00570665" w:rsidRPr="0091165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570665" w:rsidRPr="00911657" w:rsidRDefault="00750D82" w:rsidP="00B13D00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իր նախաձեռնությամբ </w:t>
            </w:r>
            <w:r w:rsidR="00733FC9" w:rsidRPr="00911657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իտարկման</w:t>
            </w:r>
            <w:r w:rsidR="00113405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իրականացման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ժամկետների փոփոխության դեպքում՝ փոխհատուցել փոփոխության </w:t>
            </w:r>
            <w:proofErr w:type="spellStart"/>
            <w:r w:rsidR="00B13D00" w:rsidRPr="00911657">
              <w:rPr>
                <w:rFonts w:ascii="GHEA Grapalat" w:hAnsi="GHEA Grapalat"/>
                <w:sz w:val="20"/>
                <w:szCs w:val="20"/>
                <w:lang w:val="en-US"/>
              </w:rPr>
              <w:t>հետ</w:t>
            </w:r>
            <w:proofErr w:type="spellEnd"/>
            <w:r w:rsidR="00B13D00"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կապված փաստացի  ծախսերը.</w:t>
            </w:r>
          </w:p>
        </w:tc>
      </w:tr>
      <w:tr w:rsidR="00570665" w:rsidRPr="0091165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570665" w:rsidRPr="00911657" w:rsidRDefault="00750D82" w:rsidP="00B615EE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="00DE002B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պահովել </w:t>
            </w:r>
            <w:r w:rsidR="00B13D00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Դիտարկման </w:t>
            </w:r>
            <w:proofErr w:type="spellStart"/>
            <w:r w:rsidR="00B13D00" w:rsidRPr="00911657">
              <w:rPr>
                <w:rFonts w:ascii="GHEA Grapalat" w:hAnsi="GHEA Grapalat"/>
                <w:sz w:val="20"/>
                <w:szCs w:val="20"/>
                <w:lang w:val="en-US"/>
              </w:rPr>
              <w:t>իրականացման</w:t>
            </w:r>
            <w:proofErr w:type="spellEnd"/>
            <w:r w:rsidR="00B13D00" w:rsidRPr="0091165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13D00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համար անհրաժեշտ </w:t>
            </w:r>
            <w:r w:rsidR="00B615EE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</w:t>
            </w:r>
            <w:r w:rsidR="00DE002B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Հանրապետության օրենսդրությամբ </w:t>
            </w:r>
            <w:r w:rsidR="00570665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սահմանված գործողություններ</w:t>
            </w:r>
            <w:r w:rsidR="00DE002B" w:rsidRPr="00911657">
              <w:rPr>
                <w:rFonts w:ascii="GHEA Grapalat" w:hAnsi="GHEA Grapalat"/>
                <w:sz w:val="20"/>
                <w:szCs w:val="20"/>
                <w:lang w:val="hy-AM"/>
              </w:rPr>
              <w:t>ի կատարումը:</w:t>
            </w:r>
          </w:p>
        </w:tc>
      </w:tr>
      <w:tr w:rsidR="00570665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F2F2F2" w:themeFill="background1" w:themeFillShade="F2"/>
          </w:tcPr>
          <w:p w:rsidR="00570665" w:rsidRPr="00911657" w:rsidRDefault="00C95E42" w:rsidP="00E819C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Հայտ</w:t>
            </w:r>
            <w:r w:rsidR="00570665"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ատուն իրավունք ունի՝</w:t>
            </w:r>
          </w:p>
        </w:tc>
      </w:tr>
      <w:tr w:rsidR="00570665" w:rsidRPr="0091165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570665" w:rsidRPr="00911657" w:rsidRDefault="00750D82" w:rsidP="00E819CC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պ</w:t>
            </w:r>
            <w:r w:rsidR="00570665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ահանջել</w:t>
            </w:r>
            <w:r w:rsidR="00570665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Դիտարկումն </w:t>
            </w:r>
            <w:r w:rsidR="00570665" w:rsidRPr="00911657">
              <w:rPr>
                <w:rFonts w:ascii="GHEA Grapalat" w:hAnsi="GHEA Grapalat"/>
                <w:sz w:val="20"/>
                <w:szCs w:val="20"/>
                <w:lang w:val="hy-AM"/>
              </w:rPr>
              <w:t>իրականաց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նել Հայաստանի Հանրապետության օրենսդրությամբ</w:t>
            </w:r>
            <w:r w:rsidR="00570665"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սահմանված կարգին համապատասխան</w:t>
            </w:r>
            <w:r w:rsidR="00865257" w:rsidRPr="009116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</w:tr>
      <w:tr w:rsidR="00570665" w:rsidRPr="00911657" w:rsidTr="008237D7">
        <w:trPr>
          <w:trHeight w:val="465"/>
        </w:trPr>
        <w:tc>
          <w:tcPr>
            <w:tcW w:w="10137" w:type="dxa"/>
            <w:gridSpan w:val="5"/>
            <w:shd w:val="clear" w:color="auto" w:fill="FFFFFF" w:themeFill="background1"/>
          </w:tcPr>
          <w:p w:rsidR="00570665" w:rsidRPr="00911657" w:rsidRDefault="00865257" w:rsidP="0004683D">
            <w:pPr>
              <w:pStyle w:val="ListParagraph"/>
              <w:numPr>
                <w:ilvl w:val="2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Պայմանագրից շեղումներ կամ այլ թե</w:t>
            </w:r>
            <w:r w:rsidR="002605F9" w:rsidRPr="00911657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ություններ հայտնաբերելու դեպքում՝ անհապաղ հայտնել Կ</w:t>
            </w:r>
            <w:r w:rsidR="0004683D" w:rsidRPr="00911657">
              <w:rPr>
                <w:rFonts w:ascii="GHEA Grapalat" w:hAnsi="GHEA Grapalat"/>
                <w:sz w:val="20"/>
                <w:szCs w:val="20"/>
                <w:lang w:val="hy-AM"/>
              </w:rPr>
              <w:t>ենտրոնի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ն.</w:t>
            </w:r>
          </w:p>
        </w:tc>
      </w:tr>
      <w:tr w:rsidR="00750D82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750D82" w:rsidRPr="00911657" w:rsidRDefault="00750D82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t>ՊԱՅՄԱՆԱԳՐԻ ԳԻՆԸ, ՎՃԱՐՄԱՆ ԿԱՐԳԸ ԵՎ ԺԱՄԿԵՏՆԵՐԸ</w:t>
            </w:r>
          </w:p>
        </w:tc>
      </w:tr>
      <w:tr w:rsidR="00865257" w:rsidRPr="00911657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:rsidR="00C95E42" w:rsidRPr="00911657" w:rsidRDefault="00445ED5" w:rsidP="00153958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Դիտարկման արժեքը սահմանվում </w:t>
            </w:r>
            <w:r w:rsidR="00153958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է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</w:t>
            </w:r>
            <w:proofErr w:type="spellStart"/>
            <w:r w:rsidR="007E1230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համապատասխան</w:t>
            </w:r>
            <w:proofErr w:type="spellEnd"/>
            <w:r w:rsidR="007E1230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r w:rsidR="009627A0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Հ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ավելվածով:</w:t>
            </w:r>
          </w:p>
        </w:tc>
      </w:tr>
      <w:tr w:rsidR="00E819CC" w:rsidRPr="00911657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:rsidR="00E819CC" w:rsidRPr="00911657" w:rsidRDefault="00100AC4" w:rsidP="00F27182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Դիտարկմ</w:t>
            </w:r>
            <w:proofErr w:type="spellStart"/>
            <w:r w:rsidR="00DF7428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ան</w:t>
            </w:r>
            <w:proofErr w:type="spellEnd"/>
            <w:r w:rsidR="00DF7428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DF7428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գործընթաց</w:t>
            </w:r>
            <w:r w:rsidR="00F27182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ն</w:t>
            </w:r>
            <w:proofErr w:type="spellEnd"/>
            <w:r w:rsidR="00F27182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F27182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սկսվում</w:t>
            </w:r>
            <w:proofErr w:type="spellEnd"/>
            <w:r w:rsidR="00F27182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r w:rsidR="00F27182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է</w:t>
            </w:r>
            <w:r w:rsidR="00F27182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r w:rsidR="007D43EE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Հայտատուի կողմից Հավելվածում նշված Դիտարկման վարձի 100%-ի չափով կանխավճար</w:t>
            </w:r>
            <w:r w:rsidR="00F91AD0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ը</w:t>
            </w:r>
            <w:r w:rsidR="007D43EE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Կենտրոնի հաշվին </w:t>
            </w:r>
            <w:r w:rsidR="007D43EE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ստա</w:t>
            </w:r>
            <w:proofErr w:type="spellStart"/>
            <w:r w:rsidR="007D43EE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նալուց</w:t>
            </w:r>
            <w:proofErr w:type="spellEnd"/>
            <w:r w:rsidR="007D43EE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D43EE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հետո</w:t>
            </w:r>
            <w:proofErr w:type="spellEnd"/>
            <w:r w:rsidR="00E819CC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:</w:t>
            </w:r>
          </w:p>
        </w:tc>
      </w:tr>
      <w:tr w:rsidR="00E819CC" w:rsidRPr="00911657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:rsidR="00E819CC" w:rsidRPr="00911657" w:rsidRDefault="00E819CC" w:rsidP="005B13F0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Հայտատուն պարտավոր է հատուցել </w:t>
            </w:r>
            <w:r w:rsidR="00E90125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նաև 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ենտրոնի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կողմից </w:t>
            </w:r>
            <w:r w:rsidR="00733FC9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Դ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իտարկման իրականաց</w:t>
            </w:r>
            <w:proofErr w:type="spellStart"/>
            <w:r w:rsidR="007E1230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ու</w:t>
            </w:r>
            <w:proofErr w:type="spellEnd"/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մն</w:t>
            </w:r>
            <w:r w:rsidR="007E1230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E1230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ապահովելու</w:t>
            </w:r>
            <w:proofErr w:type="spellEnd"/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հետ կապված  փաստացի կատարված</w:t>
            </w:r>
            <w:r w:rsidR="007E1230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ծախսերը, եթե այդպիսիք եղել են` 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ի կողմից դրանց վերաբերյալ հաշվ</w:t>
            </w:r>
            <w:r w:rsidR="00113405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արկային փաստաթուղթը կամ փոխանցման հաշիվը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ներկայացնելուց հետո՝ </w:t>
            </w:r>
            <w:r w:rsidR="005B13F0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>5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աշխատանքային օրվա ընթացքում:</w:t>
            </w:r>
          </w:p>
        </w:tc>
      </w:tr>
      <w:tr w:rsidR="00E819CC" w:rsidRPr="00911657" w:rsidTr="00E819CC">
        <w:trPr>
          <w:trHeight w:val="609"/>
        </w:trPr>
        <w:tc>
          <w:tcPr>
            <w:tcW w:w="10137" w:type="dxa"/>
            <w:gridSpan w:val="5"/>
            <w:shd w:val="clear" w:color="auto" w:fill="auto"/>
          </w:tcPr>
          <w:p w:rsidR="00E819CC" w:rsidRPr="00911657" w:rsidRDefault="00E819CC" w:rsidP="003C7AA5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Պայմանագրով սահմանված վճարումները կատարվում են 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ենտրոնի կողմից</w:t>
            </w:r>
            <w:r w:rsidR="008A0F59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Պայմանագրում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նշած բանկային հաշվին գումարի փոխանցման միջոցով:</w:t>
            </w:r>
            <w:r w:rsidR="00392FCF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</w:t>
            </w:r>
          </w:p>
        </w:tc>
      </w:tr>
      <w:tr w:rsidR="00E819CC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911657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t>ԴԻՏԱՐԿՄԱՆ ԱՐԴՅՈՒՆՔՆԵՐԻ ՀԱՆՁՆՈՒՄ-ԸՆԴՈՒՆՈՒՄԸ</w:t>
            </w:r>
          </w:p>
        </w:tc>
      </w:tr>
      <w:tr w:rsidR="00E819CC" w:rsidRPr="00911657" w:rsidTr="008237D7">
        <w:trPr>
          <w:trHeight w:val="465"/>
        </w:trPr>
        <w:tc>
          <w:tcPr>
            <w:tcW w:w="10137" w:type="dxa"/>
            <w:gridSpan w:val="5"/>
            <w:shd w:val="clear" w:color="auto" w:fill="auto"/>
          </w:tcPr>
          <w:p w:rsidR="00E819CC" w:rsidRPr="00911657" w:rsidRDefault="007A2F42" w:rsidP="00F91AD0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Դիտարկման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գործընթացի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ավարտին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D42FBA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Կենտրոնի բանկային հաշվին </w:t>
            </w:r>
            <w:proofErr w:type="spellStart"/>
            <w:r w:rsidR="00D42FBA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Դիտարկման</w:t>
            </w:r>
            <w:proofErr w:type="spellEnd"/>
            <w:r w:rsidR="00D42FBA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D42FBA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բոլոր</w:t>
            </w:r>
            <w:proofErr w:type="spellEnd"/>
            <w:r w:rsidR="00D42FBA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6C6AF6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ծախսերը</w:t>
            </w:r>
            <w:proofErr w:type="spellEnd"/>
            <w:r w:rsidR="006C6AF6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6C6AF6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կազմող</w:t>
            </w:r>
            <w:proofErr w:type="spellEnd"/>
            <w:r w:rsidR="006C6AF6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6C6AF6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գումարներ</w:t>
            </w:r>
            <w:r w:rsidR="00F91AD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ը</w:t>
            </w:r>
            <w:proofErr w:type="spellEnd"/>
            <w:r w:rsidR="006C6AF6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6C6AF6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ստանալուց</w:t>
            </w:r>
            <w:proofErr w:type="spellEnd"/>
            <w:r w:rsidR="006C6AF6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6C6AF6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հետո</w:t>
            </w:r>
            <w:proofErr w:type="spellEnd"/>
            <w:r w:rsidR="00D42FBA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Հայտատուին տրամադրվում է Դիտարկման հաշվետվությունը</w:t>
            </w:r>
            <w:r w:rsidR="00F91AD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="00F91AD0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F91AD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Հայաստանի</w:t>
            </w:r>
            <w:proofErr w:type="spellEnd"/>
            <w:r w:rsidR="00F91AD0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F91AD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="00F91AD0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F91AD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օրենսդրությամբ</w:t>
            </w:r>
            <w:proofErr w:type="spellEnd"/>
            <w:r w:rsidR="00F91AD0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F91AD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սահմանված</w:t>
            </w:r>
            <w:proofErr w:type="spellEnd"/>
            <w:r w:rsidR="00F91AD0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F91AD0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կարգով</w:t>
            </w:r>
            <w:proofErr w:type="spellEnd"/>
            <w:r w:rsidR="00D42FBA" w:rsidRPr="00911657"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100AC4" w:rsidRPr="00911657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="00100AC4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և</w:t>
            </w:r>
            <w:r w:rsidR="00100AC4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C34F8E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C34F8E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դուրս</w:t>
            </w:r>
            <w:proofErr w:type="spellEnd"/>
            <w:r w:rsidR="00C34F8E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C34F8E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է</w:t>
            </w:r>
            <w:r w:rsidR="00C34F8E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C34F8E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գրվում</w:t>
            </w:r>
            <w:proofErr w:type="spellEnd"/>
            <w:r w:rsidR="00C34F8E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C34F8E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հարկային</w:t>
            </w:r>
            <w:proofErr w:type="spellEnd"/>
            <w:r w:rsidR="00C34F8E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C34F8E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հաշիվ</w:t>
            </w:r>
            <w:proofErr w:type="spellEnd"/>
            <w:r w:rsidR="00C34F8E"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</w:tr>
      <w:tr w:rsidR="007A2F42" w:rsidRPr="00911657" w:rsidTr="008237D7">
        <w:trPr>
          <w:trHeight w:val="465"/>
        </w:trPr>
        <w:tc>
          <w:tcPr>
            <w:tcW w:w="10137" w:type="dxa"/>
            <w:gridSpan w:val="5"/>
            <w:shd w:val="clear" w:color="auto" w:fill="auto"/>
          </w:tcPr>
          <w:p w:rsidR="007A2F42" w:rsidRPr="00911657" w:rsidRDefault="005B13F0" w:rsidP="00B00663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>Հայտատուի կողմից գրավոր առարկությունների վերաբերյալ համաձայնությ</w:t>
            </w:r>
            <w:proofErr w:type="spellStart"/>
            <w:r w:rsidR="00B00663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ու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 ձեռք չբերելու դեպքում վեճը լուծվում է Պայմանագրով և </w:t>
            </w:r>
            <w:proofErr w:type="spellStart"/>
            <w:r w:rsidR="004B39A4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Հայաստանի</w:t>
            </w:r>
            <w:proofErr w:type="spellEnd"/>
            <w:r w:rsidR="004B39A4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4B39A4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91165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օրենսդրությամբ սահմանված կարգով:</w:t>
            </w:r>
          </w:p>
        </w:tc>
      </w:tr>
      <w:tr w:rsidR="00E819CC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911657" w:rsidRDefault="00E819CC" w:rsidP="0045486E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t>ՊԱՅՄԱՆԱԳՐԻ ԺԱՄԿԵՏԸ ԵՎ ԼՈՒԾՈՒՄԸ</w:t>
            </w:r>
          </w:p>
        </w:tc>
      </w:tr>
      <w:tr w:rsidR="00E819CC" w:rsidRPr="0091165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911657" w:rsidRDefault="00B16EE4" w:rsidP="00F27182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proofErr w:type="spellStart"/>
            <w:r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Պայմանագիրը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proofErr w:type="spellStart"/>
            <w:r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կնքվում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է</w:t>
            </w:r>
            <w:r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proofErr w:type="spellStart"/>
            <w:r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անորոշ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proofErr w:type="spellStart"/>
            <w:r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ժամկետով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</w:rPr>
              <w:t xml:space="preserve">: </w:t>
            </w:r>
            <w:r w:rsidR="00E819CC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Պայմանագիրը և Հավելվածը ուժի մեջ են մտնում երկկողմանի ստորագրման պահից և գործում </w:t>
            </w:r>
            <w:proofErr w:type="spellStart"/>
            <w:r w:rsidR="00F27182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են</w:t>
            </w:r>
            <w:proofErr w:type="spellEnd"/>
            <w:r w:rsidR="00E819CC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մինչ դրանցով սահմանված պարտավորությունների ամբողջական և պատշաճ կատարումը:</w:t>
            </w:r>
          </w:p>
        </w:tc>
      </w:tr>
      <w:tr w:rsidR="00E819CC" w:rsidRPr="0091165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911657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870"/>
                <w:tab w:val="left" w:pos="1020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Պայմանագիրը կարող է լուծվել Կողմերի փոխադարձ համաձայնությամբ, ինչպես նաև </w:t>
            </w:r>
            <w:proofErr w:type="spellStart"/>
            <w:r w:rsidR="004B39A4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Հայաստանի</w:t>
            </w:r>
            <w:proofErr w:type="spellEnd"/>
            <w:r w:rsidR="004B39A4" w:rsidRPr="00911657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="004B39A4" w:rsidRPr="00911657">
              <w:rPr>
                <w:rFonts w:ascii="GHEA Grapalat" w:hAnsi="GHEA Grapalat" w:cs="Sylfaen"/>
                <w:sz w:val="20"/>
                <w:szCs w:val="20"/>
                <w:lang w:val="en-US"/>
              </w:rPr>
              <w:t>Հանրապետության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օրենսդրությամբ սահմանված կարգով:</w:t>
            </w:r>
          </w:p>
        </w:tc>
      </w:tr>
      <w:tr w:rsidR="00E819CC" w:rsidRPr="0091165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911657" w:rsidRDefault="00E819CC" w:rsidP="000C0EF7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Հայտ</w:t>
            </w:r>
            <w:r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ատուն իրավունք ունի միակողմանի վաղաժամկետ լուծել Պայմանագիրը՝ Կ</w:t>
            </w:r>
            <w:r w:rsidR="0004683D"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ե</w:t>
            </w:r>
            <w:r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ն</w:t>
            </w:r>
            <w:r w:rsidR="0004683D"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տրոնին</w:t>
            </w:r>
            <w:r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փ</w:t>
            </w:r>
            <w:r w:rsidR="0004683D"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ո</w:t>
            </w:r>
            <w:r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խհատուցելով Դ</w:t>
            </w:r>
            <w:r w:rsidR="000C0EF7"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իտարկման ծախսերն ամբողջությամբ</w:t>
            </w:r>
            <w:r w:rsidR="000C0EF7" w:rsidRPr="00911657"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: </w:t>
            </w:r>
            <w:r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Դիտարկման </w:t>
            </w:r>
            <w:proofErr w:type="spellStart"/>
            <w:r w:rsidR="007201A7" w:rsidRPr="00911657">
              <w:rPr>
                <w:rFonts w:ascii="GHEA Grapalat" w:hAnsi="GHEA Grapalat" w:cs="Arial"/>
                <w:color w:val="000000"/>
                <w:sz w:val="20"/>
                <w:szCs w:val="20"/>
                <w:lang w:val="en-US"/>
              </w:rPr>
              <w:t>վարձը</w:t>
            </w:r>
            <w:proofErr w:type="spellEnd"/>
            <w:r w:rsidRPr="00911657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ենթակա չէ վերադարձման:</w:t>
            </w:r>
            <w:r w:rsidRPr="00911657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Հավելվածով սույն կետից տարբերվող պայմաններ սահմանված լինելու դեպքում գործում են Հավելվածով սահմանված պայմանները:</w:t>
            </w:r>
          </w:p>
        </w:tc>
      </w:tr>
      <w:tr w:rsidR="00416ADF" w:rsidRPr="0091165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416ADF" w:rsidRPr="00911657" w:rsidRDefault="00416ADF" w:rsidP="00D852ED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Կ</w:t>
            </w:r>
            <w:r w:rsidR="0004683D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ենտրոնը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իրավունք ունի միակողմանի վաղաժամկետ</w:t>
            </w:r>
            <w:r w:rsidR="00BC3241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լուծել Պայմանագիրը՝</w:t>
            </w:r>
            <w:r w:rsidR="000568C0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</w:t>
            </w:r>
            <w:r w:rsidR="0029462A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Հավելվածում նշված </w:t>
            </w:r>
            <w:r w:rsidR="000568C0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դիտարկման</w:t>
            </w:r>
            <w:r w:rsidR="00BC3241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</w:t>
            </w:r>
            <w:r w:rsidR="00113405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իրականացման ժամկետից առնվազն մեկ ամ</w:t>
            </w:r>
            <w:r w:rsidR="00556996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ի</w:t>
            </w:r>
            <w:r w:rsidR="00113405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ս առաջ </w:t>
            </w:r>
            <w:r w:rsidR="00BC3241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Հայտատուի կողմից կանխավճարը չփոխանցելու</w:t>
            </w:r>
            <w:r w:rsidR="00D852ED"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r w:rsidR="00BC3241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դեպքում:</w:t>
            </w:r>
          </w:p>
        </w:tc>
      </w:tr>
      <w:tr w:rsidR="00E819CC" w:rsidRPr="0091165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911657" w:rsidRDefault="00E819CC" w:rsidP="000E3AD5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Պայմանագրով սահմանված կարգով և ժամկետներում Հայտատուի կողմից </w:t>
            </w:r>
            <w:r w:rsidR="005E5312"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proofErr w:type="spellStart"/>
            <w:r w:rsidR="005E5312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Դիտարկման</w:t>
            </w:r>
            <w:proofErr w:type="spellEnd"/>
            <w:r w:rsidR="005E5312"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proofErr w:type="spellStart"/>
            <w:r w:rsidR="00D852ED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ծախսերը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չ</w:t>
            </w:r>
            <w:proofErr w:type="spellStart"/>
            <w:r w:rsidR="00D852ED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փոխհատուցելու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կամ </w:t>
            </w:r>
            <w:proofErr w:type="spellStart"/>
            <w:r w:rsidR="000E3AD5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վճարումները</w:t>
            </w:r>
            <w:proofErr w:type="spellEnd"/>
            <w:r w:rsidR="000E3AD5"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r w:rsidR="000E3AD5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ոչ 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պատշաճ կատարելու դեպքում Կ</w:t>
            </w:r>
            <w:r w:rsidR="00BC3241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ենտրոն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ն իրավունք ունի միակողմանի, առանց ծանուցման դադարեցնել Պայմանագիրը` պահանջելով </w:t>
            </w:r>
            <w:r w:rsidR="00BC3241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Հայտատուից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փոխհատուցել փաստացի կատարված ծախսերը, ինչպես նաև չվերադարձնել Հայտատուի կողմից արդեն իսկ կատարված վճարումները:</w:t>
            </w:r>
          </w:p>
        </w:tc>
      </w:tr>
      <w:tr w:rsidR="00E819CC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911657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t>ԿՈՂՄԵՐԻ ՊԱՏԱՍԽԱՆԱՏՎՈՒԹՅՈՒՆԸ</w:t>
            </w:r>
          </w:p>
        </w:tc>
      </w:tr>
      <w:tr w:rsidR="00E819CC" w:rsidRPr="0091165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911657" w:rsidRDefault="00E819CC" w:rsidP="008A0F5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lastRenderedPageBreak/>
              <w:t>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պատասխանատվություն է կրում Դիտարկման ոչ պատշաճ կերպով իրականացման համար: </w:t>
            </w:r>
          </w:p>
        </w:tc>
      </w:tr>
      <w:tr w:rsidR="00E819CC" w:rsidRPr="0091165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911657" w:rsidRDefault="00E819CC" w:rsidP="003979EA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պատասխանատվություն չի կրում Դիտարկման արդյունքի այն թերությունների համար, որոնք չեն առաջացել </w:t>
            </w:r>
            <w:r w:rsidR="00BC3241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Կենտրոնի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մեղքով</w:t>
            </w:r>
            <w:r w:rsidR="003979EA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>,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առաջացել են Հայտատուի մեղքով կամ Պայմանագրով նախատեսված պարտավորությունները չկատարելու հետևանքով</w:t>
            </w:r>
            <w:r w:rsidR="00A30765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: </w:t>
            </w:r>
          </w:p>
        </w:tc>
      </w:tr>
      <w:tr w:rsidR="00E819CC" w:rsidRPr="0091165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911657" w:rsidRDefault="00E819CC" w:rsidP="00733FC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Պայմանագրով ստանձնած պարտավորությունների բարեխիղճ և որակյալ կատարումից բացի այլ երաշխավորություն</w:t>
            </w:r>
            <w:proofErr w:type="spellStart"/>
            <w:r w:rsidR="003521B1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ներ</w:t>
            </w:r>
            <w:proofErr w:type="spellEnd"/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չի տալիս, մասնավորապես, չի երաշխավորում </w:t>
            </w:r>
            <w:r w:rsidR="00733FC9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Դ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իտարկման արդյունքը՝ անկախ արդյունքի կանխատեսելիությունից:</w:t>
            </w:r>
          </w:p>
        </w:tc>
      </w:tr>
      <w:tr w:rsidR="00E819CC" w:rsidRPr="0091165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911657" w:rsidRDefault="00E819CC" w:rsidP="002728EC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Կողմերը Պայմանագրով ստանձնած պարտավորությունների չկատարման կամ ոչ պատշաճ կատարման համար պատասխանատվություն են կրում Հայաստանի Հանրապետության օրենսդրությամբ սահմանված կարգով:</w:t>
            </w:r>
          </w:p>
        </w:tc>
      </w:tr>
      <w:tr w:rsidR="00E819CC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911657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t>ԳԱՂՏՆԻՈՒԹՅՈՒՆԸ</w:t>
            </w:r>
          </w:p>
        </w:tc>
      </w:tr>
      <w:tr w:rsidR="00E819CC" w:rsidRPr="0091165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911657" w:rsidRDefault="00E819CC" w:rsidP="009D5A0F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պարտավորվում է պահպանել գաղտնիությունը և չհրապարակել Հայտատուի վերաբերյալ մասնագիտական, գործարար և որևէ այլ տեղեկատվություն, ինչպես նաև չօգտագործել այդ տեղեկատվությունն իր անձնական կամ երրորդ անձանց օգտին:</w:t>
            </w:r>
          </w:p>
        </w:tc>
      </w:tr>
      <w:tr w:rsidR="00E819CC" w:rsidRPr="00911657" w:rsidTr="00E819CC">
        <w:trPr>
          <w:trHeight w:val="397"/>
        </w:trPr>
        <w:tc>
          <w:tcPr>
            <w:tcW w:w="10137" w:type="dxa"/>
            <w:gridSpan w:val="5"/>
            <w:shd w:val="clear" w:color="auto" w:fill="FFFFFF" w:themeFill="background1"/>
          </w:tcPr>
          <w:p w:rsidR="00E819CC" w:rsidRPr="00911657" w:rsidRDefault="00E819CC" w:rsidP="00E708E6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ենտրոնն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առանց Հայտատուի համաձայնության չպետք է </w:t>
            </w:r>
            <w:proofErr w:type="spellStart"/>
            <w:r w:rsidR="00E708E6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դիտարկման</w:t>
            </w:r>
            <w:proofErr w:type="spellEnd"/>
            <w:r w:rsidR="00E708E6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տարածքից </w:t>
            </w:r>
            <w:proofErr w:type="spellStart"/>
            <w:r w:rsidR="00E708E6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վերցնի</w:t>
            </w:r>
            <w:proofErr w:type="spellEnd"/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փաստաթղթեր, նյութական կրիչներ և հիշողություն պարունակող այլ սարքավորումներ:</w:t>
            </w:r>
          </w:p>
        </w:tc>
      </w:tr>
      <w:tr w:rsidR="00E819CC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E819CC" w:rsidRPr="00911657" w:rsidRDefault="00E819CC" w:rsidP="00733FC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Կ</w:t>
            </w:r>
            <w:r w:rsidR="0004683D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ենտրոնը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երաշխավորում է, որ Հայտատուին վերաբերող կամ նրան առնչվող տեղեկությունների չհրապարակման վերաբերյալ համապատասխան պայմանագրեր ունի կնքած իր այն աշխատողների հետ, ովքեր իրականացնելու են Պայմանագրով նախատեսված </w:t>
            </w:r>
            <w:r w:rsidR="00733FC9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Դ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իտարկումը:</w:t>
            </w:r>
          </w:p>
        </w:tc>
      </w:tr>
      <w:tr w:rsidR="00E819CC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911657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spacing w:after="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t>ԱՆՀԱՂԹԱՀԱՐԵԼԻ ՈՒԺԻ ԱԶԴԵՑՈՒԹՅՈՒՆԸ (ֆորս-մաժոր)</w:t>
            </w:r>
          </w:p>
        </w:tc>
      </w:tr>
      <w:tr w:rsidR="00E819CC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E819CC" w:rsidRPr="00911657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Պայմանագրով պարտավորություններն  ամբողջությամբ կամ մասնակիորեն չկատարելու համար Կողմերն ազատվում են  պատասխանատվությունից, եթե դա եղել է անհաղթահարելի ուժի ազդեցության արդյունք, որը ծագել է  Պայմանագիրը կնքելուց հետո, և որը Կողմերը չէին կարող կանխատեսել կամ կանխարգելել: Այդպիսի իրավիճակներից են տարերային աղետները և պատերազմը, պետական մարմինների ակտերը, օրենսդրության փոփոխությունները և այլն, որոնք առաջանում են Կողմերի կամքից անկախ և անհնարին են դարձնում Պայմանագրով ստանձնած պարտավորությունների կատարումը:</w:t>
            </w:r>
          </w:p>
        </w:tc>
      </w:tr>
      <w:tr w:rsidR="00E819CC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E819CC" w:rsidRPr="00911657" w:rsidRDefault="00E819CC" w:rsidP="003521B1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Եթե արտակարգ ուժի ազդեցությունը շարունակվում է երեք ամսից ավելի, ապա Կողմերից յուրաքանչյուրն իրավունք ունի լուծել Պայմանագիրը` այդ մասին նախապես տեղյակ պահելով </w:t>
            </w:r>
            <w:r w:rsidR="0061745C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մ</w:t>
            </w:r>
            <w:r w:rsidR="002728EC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յուս կողմին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: Ընդ որում` նման հիմքով պայմանագրի լուծումը չի ազատում Հայտատուին փաստացի կատարված ծախսերի փոխհատուցումից:</w:t>
            </w:r>
          </w:p>
        </w:tc>
      </w:tr>
      <w:tr w:rsidR="00E819CC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911657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t>ԿՈՂՄԵՐԻ ՀԱՂՈՐԴԱԿՑՈՒԹՅՈՒՆԸ</w:t>
            </w:r>
          </w:p>
        </w:tc>
      </w:tr>
      <w:tr w:rsidR="00E819CC" w:rsidRPr="00911657" w:rsidTr="00E819CC">
        <w:trPr>
          <w:trHeight w:val="360"/>
        </w:trPr>
        <w:tc>
          <w:tcPr>
            <w:tcW w:w="10137" w:type="dxa"/>
            <w:gridSpan w:val="5"/>
            <w:shd w:val="clear" w:color="auto" w:fill="auto"/>
          </w:tcPr>
          <w:p w:rsidR="00E819CC" w:rsidRPr="00911657" w:rsidRDefault="00E819CC" w:rsidP="00E728C6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Կողմերի միջև Պայմանագրի կատարման շրջանակներում իրականացվող հաղորդակցությունը (գրագրությունը), այդ թվում` Հայտատուի կողմից Կ</w:t>
            </w:r>
            <w:r w:rsidR="0004683D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ենտրոն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ին տեղեկությունների տրամադրումը, իրականացվում է գրավոր (առձեռն</w:t>
            </w:r>
            <w:r w:rsidR="007D690C" w:rsidRPr="00911657">
              <w:rPr>
                <w:rFonts w:ascii="GHEA Grapalat" w:hAnsi="GHEA Grapalat" w:cs="Tahoma"/>
                <w:sz w:val="20"/>
                <w:szCs w:val="20"/>
              </w:rPr>
              <w:t>),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փոստով կամ </w:t>
            </w:r>
            <w:proofErr w:type="spellStart"/>
            <w:r w:rsidR="003827E3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էլ</w:t>
            </w:r>
            <w:r w:rsidR="007D690C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եկտրոնային</w:t>
            </w:r>
            <w:proofErr w:type="spellEnd"/>
            <w:r w:rsidR="007D690C"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proofErr w:type="spellStart"/>
            <w:r w:rsidR="007D690C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հաղորդակցության</w:t>
            </w:r>
            <w:proofErr w:type="spellEnd"/>
            <w:r w:rsidR="007D690C" w:rsidRPr="00911657">
              <w:rPr>
                <w:rFonts w:ascii="GHEA Grapalat" w:hAnsi="GHEA Grapalat" w:cs="Tahoma"/>
                <w:sz w:val="20"/>
                <w:szCs w:val="20"/>
              </w:rPr>
              <w:t xml:space="preserve"> </w:t>
            </w:r>
            <w:proofErr w:type="spellStart"/>
            <w:r w:rsidR="007D690C" w:rsidRPr="00911657">
              <w:rPr>
                <w:rFonts w:ascii="GHEA Grapalat" w:hAnsi="GHEA Grapalat" w:cs="Tahoma"/>
                <w:sz w:val="20"/>
                <w:szCs w:val="20"/>
                <w:lang w:val="en-US"/>
              </w:rPr>
              <w:t>միջոցներով</w:t>
            </w:r>
            <w:proofErr w:type="spellEnd"/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: Էլեկտրոնային փոստի միջոցով գրագրություն իրականացնելու դեպքում ծանուցումը համարվում է ստացված նամակը ուղարկելուն հաջորդող օրը:</w:t>
            </w:r>
          </w:p>
        </w:tc>
      </w:tr>
      <w:tr w:rsidR="00E819CC" w:rsidRPr="00911657" w:rsidTr="00E819CC">
        <w:trPr>
          <w:trHeight w:val="360"/>
        </w:trPr>
        <w:tc>
          <w:tcPr>
            <w:tcW w:w="10137" w:type="dxa"/>
            <w:gridSpan w:val="5"/>
            <w:shd w:val="clear" w:color="auto" w:fill="auto"/>
          </w:tcPr>
          <w:p w:rsidR="00E819CC" w:rsidRPr="00911657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Կողմերի միջև Պայմանագրի կատարման շրջանակներում իրականացվող հաղորդակցությունը (գրագրությունը) իրականացվում է Պայմանագրում նշված հասցեներով: Հասցեների փոփոխության դեպքում Կողմերը </w:t>
            </w:r>
            <w:r w:rsidR="002728EC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պարտավոր են տրամադրել նոր հասցե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: Սույն կետում սահմանված </w:t>
            </w:r>
            <w:r w:rsidR="002728EC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պարտավորության խախտման դեպքում Պ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այմանագրի համաձայն կատարված ծանուցումները ուղարկվում են վերջին հայտնի փոստային հասցեով և համարվում են հանձնված` անկախ հասցեատիրոջ կողմից այն ստանալու փաստից:</w:t>
            </w:r>
          </w:p>
        </w:tc>
      </w:tr>
      <w:tr w:rsidR="00E819CC" w:rsidRPr="00911657" w:rsidTr="002377A7">
        <w:trPr>
          <w:trHeight w:val="1049"/>
        </w:trPr>
        <w:tc>
          <w:tcPr>
            <w:tcW w:w="10137" w:type="dxa"/>
            <w:gridSpan w:val="5"/>
            <w:shd w:val="clear" w:color="auto" w:fill="auto"/>
          </w:tcPr>
          <w:p w:rsidR="00E819CC" w:rsidRPr="001A3BFA" w:rsidRDefault="00E819CC" w:rsidP="0004683D">
            <w:pPr>
              <w:pStyle w:val="ListParagraph"/>
              <w:numPr>
                <w:ilvl w:val="1"/>
                <w:numId w:val="5"/>
              </w:numPr>
              <w:tabs>
                <w:tab w:val="left" w:pos="851"/>
              </w:tabs>
              <w:spacing w:after="80"/>
              <w:ind w:left="851" w:hanging="49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Հայտատուն փաստում է, որ տեղեկացված է և տալիս է իր համաձայնությունը Կ</w:t>
            </w:r>
            <w:r w:rsidR="0004683D"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>ենտրոնի</w:t>
            </w:r>
            <w:r w:rsidRPr="00911657">
              <w:rPr>
                <w:rFonts w:ascii="GHEA Grapalat" w:hAnsi="GHEA Grapalat" w:cs="Tahoma"/>
                <w:sz w:val="20"/>
                <w:szCs w:val="20"/>
                <w:lang w:val="hy-AM"/>
              </w:rPr>
              <w:t xml:space="preserve"> (ներառյալ՝ վերջինիս աշխատակիցների) հետ Պայմանագրի գործողության ընթացքում կատարվելիք հեռախոսային բոլոր խոսակցությունների ձայնագրման մասին:</w:t>
            </w:r>
          </w:p>
          <w:p w:rsidR="001A3BFA" w:rsidRDefault="001A3BFA" w:rsidP="001A3BFA">
            <w:pPr>
              <w:pStyle w:val="ListParagraph"/>
              <w:tabs>
                <w:tab w:val="left" w:pos="851"/>
              </w:tabs>
              <w:spacing w:after="80"/>
              <w:ind w:left="851"/>
              <w:jc w:val="both"/>
              <w:rPr>
                <w:rFonts w:ascii="GHEA Grapalat" w:hAnsi="GHEA Grapalat" w:cs="Tahoma"/>
                <w:sz w:val="20"/>
                <w:szCs w:val="20"/>
                <w:lang w:val="en-US"/>
              </w:rPr>
            </w:pPr>
          </w:p>
          <w:p w:rsidR="001A3BFA" w:rsidRPr="00911657" w:rsidRDefault="001A3BFA" w:rsidP="001A3BFA">
            <w:pPr>
              <w:pStyle w:val="ListParagraph"/>
              <w:tabs>
                <w:tab w:val="left" w:pos="851"/>
              </w:tabs>
              <w:spacing w:after="80"/>
              <w:ind w:left="851"/>
              <w:jc w:val="both"/>
              <w:rPr>
                <w:rFonts w:ascii="GHEA Grapalat" w:hAnsi="GHEA Grapalat" w:cs="Tahoma"/>
                <w:sz w:val="20"/>
                <w:szCs w:val="20"/>
                <w:lang w:val="hy-AM"/>
              </w:rPr>
            </w:pPr>
            <w:bookmarkStart w:id="0" w:name="_GoBack"/>
            <w:bookmarkEnd w:id="0"/>
          </w:p>
        </w:tc>
      </w:tr>
      <w:tr w:rsidR="00E819CC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911657" w:rsidRDefault="00E819CC" w:rsidP="00E819CC">
            <w:pPr>
              <w:pStyle w:val="ListParagraph"/>
              <w:numPr>
                <w:ilvl w:val="0"/>
                <w:numId w:val="5"/>
              </w:numPr>
              <w:tabs>
                <w:tab w:val="left" w:pos="900"/>
                <w:tab w:val="left" w:pos="1100"/>
              </w:tabs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  <w:lastRenderedPageBreak/>
              <w:t>ԵԶՐԱՓԱԿԻՉ ԴՐՈՒՅԹՆԵՐ</w:t>
            </w:r>
          </w:p>
        </w:tc>
      </w:tr>
      <w:tr w:rsidR="00E819CC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E819CC" w:rsidRPr="00911657" w:rsidRDefault="00E819CC" w:rsidP="009F42B9">
            <w:pPr>
              <w:pStyle w:val="ListParagraph"/>
              <w:numPr>
                <w:ilvl w:val="1"/>
                <w:numId w:val="5"/>
              </w:numPr>
              <w:tabs>
                <w:tab w:val="left" w:pos="993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Պայմանագրի նկատմամբ կիրառվում է Հայաստանի Հանրապետության օրենսդրությունը:</w:t>
            </w:r>
          </w:p>
        </w:tc>
      </w:tr>
      <w:tr w:rsidR="00E819CC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E819CC" w:rsidRPr="00911657" w:rsidRDefault="00E819CC" w:rsidP="00006AB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Պայմանագրի կատարման և դադարեցման կապակցությամբ  ծագող  տարաձայնությունները  և  վեճերը բանակցությունների ճանապարհով չլուծելու դեպքում դրանք ենթակա են լուծման Հայաստանի Հանրապետության դատարանների կողմից:</w:t>
            </w:r>
          </w:p>
        </w:tc>
      </w:tr>
      <w:tr w:rsidR="00E819CC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E819CC" w:rsidRPr="00911657" w:rsidRDefault="00E819CC" w:rsidP="00DC42B6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Պայմանագրի որևէ դրույթ </w:t>
            </w:r>
            <w:r w:rsidR="00DC42B6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անվավեր 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ճանաչվ</w:t>
            </w:r>
            <w:r w:rsidR="00DC42B6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ելու հանգամանքը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չի ազդում Պայմանագրի որևէ այլ դրույթի  վավերականության վրա, եթե Պայմանագիրը կարող էր կնքվել նաև առանց անվավեր մասը նրա մեջ ներառելու: </w:t>
            </w:r>
          </w:p>
        </w:tc>
      </w:tr>
      <w:tr w:rsidR="00DC42B6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DC42B6" w:rsidRPr="00911657" w:rsidRDefault="00DC42B6" w:rsidP="00006AB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Պայմանագրի բոլոր փոփոխությունները և լրացումները կատարվում են Կողմերի </w:t>
            </w:r>
            <w:proofErr w:type="spellStart"/>
            <w:r w:rsidR="00006AB3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ստորագրությամբ</w:t>
            </w:r>
            <w:proofErr w:type="spellEnd"/>
            <w:r w:rsidR="00006AB3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006AB3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մեկ</w:t>
            </w:r>
            <w:proofErr w:type="spellEnd"/>
            <w:r w:rsidR="00006AB3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006AB3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փաստաթուղթ</w:t>
            </w:r>
            <w:proofErr w:type="spellEnd"/>
            <w:r w:rsidR="00006AB3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006AB3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կազմելու</w:t>
            </w:r>
            <w:proofErr w:type="spellEnd"/>
            <w:r w:rsidR="00006AB3" w:rsidRPr="00911657">
              <w:rPr>
                <w:rFonts w:ascii="GHEA Grapalat" w:hAnsi="GHEA Grapalat" w:cs="Arial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006AB3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միջոցով</w:t>
            </w:r>
            <w:proofErr w:type="spellEnd"/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:</w:t>
            </w:r>
          </w:p>
        </w:tc>
      </w:tr>
      <w:tr w:rsidR="00DC42B6" w:rsidRPr="00911657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DC42B6" w:rsidRPr="00911657" w:rsidRDefault="00DC42B6" w:rsidP="00B0066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Պայմանագիրը կազմված է հայերեն </w:t>
            </w:r>
            <w:r w:rsidR="00C633FA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լեզ</w:t>
            </w:r>
            <w:r w:rsidR="00CF52F5" w:rsidRPr="00911657">
              <w:rPr>
                <w:rFonts w:ascii="GHEA Grapalat" w:hAnsi="GHEA Grapalat" w:cs="Arial"/>
                <w:sz w:val="20"/>
                <w:szCs w:val="20"/>
                <w:lang w:val="en-US" w:bidi="he-IL"/>
              </w:rPr>
              <w:t>վ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ով, երկու հավասարազոր օրինակից: Կողմերի</w:t>
            </w:r>
            <w:r w:rsidR="00D2028F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ն 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տրվում</w:t>
            </w:r>
            <w:r w:rsidR="002728EC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է Պայմանագրի մեկական օրինակ:</w:t>
            </w:r>
            <w:r w:rsidR="00C633FA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</w:t>
            </w:r>
          </w:p>
        </w:tc>
      </w:tr>
      <w:tr w:rsidR="00DC42B6" w:rsidRPr="001A3BFA" w:rsidTr="008237D7">
        <w:trPr>
          <w:trHeight w:val="397"/>
        </w:trPr>
        <w:tc>
          <w:tcPr>
            <w:tcW w:w="10137" w:type="dxa"/>
            <w:gridSpan w:val="5"/>
            <w:shd w:val="clear" w:color="auto" w:fill="auto"/>
          </w:tcPr>
          <w:p w:rsidR="00DC42B6" w:rsidRPr="00911657" w:rsidRDefault="00DC42B6" w:rsidP="00006AB3">
            <w:pPr>
              <w:pStyle w:val="ListParagraph"/>
              <w:numPr>
                <w:ilvl w:val="1"/>
                <w:numId w:val="5"/>
              </w:numPr>
              <w:tabs>
                <w:tab w:val="left" w:pos="900"/>
                <w:tab w:val="left" w:pos="1100"/>
              </w:tabs>
              <w:spacing w:after="80"/>
              <w:ind w:left="851" w:hanging="491"/>
              <w:jc w:val="both"/>
              <w:rPr>
                <w:rFonts w:ascii="GHEA Grapalat" w:hAnsi="GHEA Grapalat" w:cs="Arial"/>
                <w:sz w:val="20"/>
                <w:szCs w:val="20"/>
                <w:lang w:val="hy-AM" w:bidi="he-IL"/>
              </w:rPr>
            </w:pP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Պայմանագիրն ու  Հավելվածը</w:t>
            </w:r>
            <w:r w:rsidR="003D5B9E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, ինչպես նաև լրացումները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կարող են կնքվել </w:t>
            </w:r>
            <w:r w:rsidR="00006AB3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նաև փոխանակելով փաստաթղթերը 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>էլեկտրոնային</w:t>
            </w:r>
            <w:r w:rsidR="00B67AA2"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հաղորդակցության միջոցներով:</w:t>
            </w:r>
            <w:r w:rsidRPr="00911657">
              <w:rPr>
                <w:rFonts w:ascii="GHEA Grapalat" w:hAnsi="GHEA Grapalat" w:cs="Arial"/>
                <w:sz w:val="20"/>
                <w:szCs w:val="20"/>
                <w:lang w:val="hy-AM" w:bidi="he-IL"/>
              </w:rPr>
              <w:t xml:space="preserve"> </w:t>
            </w:r>
          </w:p>
        </w:tc>
      </w:tr>
      <w:tr w:rsidR="00E819CC" w:rsidRPr="00911657" w:rsidTr="008237D7">
        <w:trPr>
          <w:trHeight w:val="454"/>
        </w:trPr>
        <w:tc>
          <w:tcPr>
            <w:tcW w:w="10137" w:type="dxa"/>
            <w:gridSpan w:val="5"/>
            <w:shd w:val="clear" w:color="auto" w:fill="DBE5F1" w:themeFill="accent1" w:themeFillTint="33"/>
          </w:tcPr>
          <w:p w:rsidR="00E819CC" w:rsidRPr="00911657" w:rsidRDefault="0061745C" w:rsidP="00DC42B6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11.</w:t>
            </w:r>
            <w:r w:rsidR="00E819CC"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</w:t>
            </w:r>
            <w:r w:rsidR="00E819CC" w:rsidRPr="00911657">
              <w:rPr>
                <w:rFonts w:ascii="GHEA Grapalat" w:hAnsi="GHEA Grapalat" w:cs="Arial"/>
                <w:b/>
                <w:iCs/>
                <w:sz w:val="20"/>
                <w:szCs w:val="20"/>
                <w:lang w:val="hy-AM" w:bidi="he-IL"/>
              </w:rPr>
              <w:t>ՈՂՄԵՐԻ ՎԱՎԵՐԱՊԱՅՄԱՆՆԵՐ</w:t>
            </w:r>
            <w:r w:rsidR="00DC42B6" w:rsidRPr="00911657">
              <w:rPr>
                <w:rFonts w:ascii="GHEA Grapalat" w:hAnsi="GHEA Grapalat" w:cs="Arial"/>
                <w:b/>
                <w:iCs/>
                <w:sz w:val="20"/>
                <w:szCs w:val="20"/>
                <w:lang w:val="hy-AM" w:bidi="he-IL"/>
              </w:rPr>
              <w:t xml:space="preserve">Ը </w:t>
            </w:r>
            <w:r w:rsidR="00E819CC" w:rsidRPr="00911657">
              <w:rPr>
                <w:rFonts w:ascii="GHEA Grapalat" w:hAnsi="GHEA Grapalat" w:cs="Arial"/>
                <w:b/>
                <w:iCs/>
                <w:sz w:val="20"/>
                <w:szCs w:val="20"/>
                <w:lang w:val="hy-AM" w:bidi="he-IL"/>
              </w:rPr>
              <w:t xml:space="preserve"> ԵՎ  ՍՏՈՐԱԳՐՈՒԹՅՈՒՆՆԵՐԸ</w:t>
            </w:r>
          </w:p>
        </w:tc>
      </w:tr>
      <w:tr w:rsidR="00E819CC" w:rsidRPr="00911657" w:rsidTr="008237D7">
        <w:tc>
          <w:tcPr>
            <w:tcW w:w="5440" w:type="dxa"/>
            <w:gridSpan w:val="3"/>
          </w:tcPr>
          <w:p w:rsidR="00E819CC" w:rsidRPr="00911657" w:rsidRDefault="00E819CC" w:rsidP="00A1433F">
            <w:pPr>
              <w:tabs>
                <w:tab w:val="left" w:pos="90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ՀԱՅՏԱՏՈՒ</w:t>
            </w:r>
          </w:p>
        </w:tc>
        <w:tc>
          <w:tcPr>
            <w:tcW w:w="4697" w:type="dxa"/>
            <w:gridSpan w:val="2"/>
          </w:tcPr>
          <w:p w:rsidR="00E819CC" w:rsidRPr="00911657" w:rsidRDefault="00E819CC" w:rsidP="0004683D">
            <w:pPr>
              <w:tabs>
                <w:tab w:val="left" w:pos="7935"/>
              </w:tabs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="0004683D" w:rsidRPr="00911657">
              <w:rPr>
                <w:rFonts w:ascii="GHEA Grapalat" w:hAnsi="GHEA Grapalat"/>
                <w:sz w:val="20"/>
                <w:szCs w:val="20"/>
                <w:lang w:val="hy-AM"/>
              </w:rPr>
              <w:t>ԵՆՏՐՈՆ</w:t>
            </w:r>
          </w:p>
        </w:tc>
      </w:tr>
      <w:tr w:rsidR="00E819CC" w:rsidRPr="001A3BFA" w:rsidTr="008237D7">
        <w:tc>
          <w:tcPr>
            <w:tcW w:w="5440" w:type="dxa"/>
            <w:gridSpan w:val="3"/>
          </w:tcPr>
          <w:p w:rsidR="00E819CC" w:rsidRPr="00911657" w:rsidRDefault="00E819CC" w:rsidP="00A1433F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«----------» ----------</w:t>
            </w:r>
          </w:p>
        </w:tc>
        <w:tc>
          <w:tcPr>
            <w:tcW w:w="4697" w:type="dxa"/>
            <w:gridSpan w:val="2"/>
          </w:tcPr>
          <w:p w:rsidR="00E819CC" w:rsidRPr="00911657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«Ակադեմիկոս Էմիլ Գաբրիելյանի անվան դեղերի և բժշկական  տեխնոլոգիաների փորձագիտական կենտրոն» ՓԲԸ</w:t>
            </w:r>
          </w:p>
        </w:tc>
      </w:tr>
      <w:tr w:rsidR="00E819CC" w:rsidRPr="001A3BFA" w:rsidTr="008237D7">
        <w:trPr>
          <w:trHeight w:val="600"/>
        </w:trPr>
        <w:tc>
          <w:tcPr>
            <w:tcW w:w="1668" w:type="dxa"/>
          </w:tcPr>
          <w:p w:rsidR="00E819CC" w:rsidRPr="00911657" w:rsidRDefault="00E819CC" w:rsidP="00A1433F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3772" w:type="dxa"/>
            <w:gridSpan w:val="2"/>
          </w:tcPr>
          <w:p w:rsidR="00E819CC" w:rsidRPr="00911657" w:rsidRDefault="00E819CC" w:rsidP="006D4B1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</w:tcPr>
          <w:p w:rsidR="00E819CC" w:rsidRPr="00911657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Հասցե</w:t>
            </w:r>
          </w:p>
        </w:tc>
        <w:tc>
          <w:tcPr>
            <w:tcW w:w="3327" w:type="dxa"/>
          </w:tcPr>
          <w:p w:rsidR="00E819CC" w:rsidRPr="00911657" w:rsidRDefault="00E819CC" w:rsidP="00E9012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ՀՀ, ք.Երևան 0051, Կոմիտաս պող 49/</w:t>
            </w:r>
            <w:r w:rsidR="00E90125" w:rsidRPr="0091165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E819CC" w:rsidRPr="00911657" w:rsidTr="008237D7">
        <w:trPr>
          <w:trHeight w:val="390"/>
        </w:trPr>
        <w:tc>
          <w:tcPr>
            <w:tcW w:w="1668" w:type="dxa"/>
          </w:tcPr>
          <w:p w:rsidR="00E819CC" w:rsidRPr="00911657" w:rsidRDefault="00E819CC" w:rsidP="00A1433F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72" w:type="dxa"/>
            <w:gridSpan w:val="2"/>
          </w:tcPr>
          <w:p w:rsidR="00E819CC" w:rsidRPr="00911657" w:rsidRDefault="00E819CC" w:rsidP="006D4B1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</w:tcPr>
          <w:p w:rsidR="00E819CC" w:rsidRPr="00911657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ՀՎՀՀ</w:t>
            </w:r>
          </w:p>
        </w:tc>
        <w:tc>
          <w:tcPr>
            <w:tcW w:w="3327" w:type="dxa"/>
          </w:tcPr>
          <w:p w:rsidR="00E819CC" w:rsidRPr="00911657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02500292</w:t>
            </w:r>
          </w:p>
        </w:tc>
      </w:tr>
      <w:tr w:rsidR="00E819CC" w:rsidRPr="00911657" w:rsidTr="008237D7">
        <w:trPr>
          <w:trHeight w:val="390"/>
        </w:trPr>
        <w:tc>
          <w:tcPr>
            <w:tcW w:w="1668" w:type="dxa"/>
          </w:tcPr>
          <w:p w:rsidR="00E819CC" w:rsidRPr="00911657" w:rsidRDefault="00E819CC" w:rsidP="00A1433F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Էլ. փոստ</w:t>
            </w:r>
          </w:p>
        </w:tc>
        <w:tc>
          <w:tcPr>
            <w:tcW w:w="3772" w:type="dxa"/>
            <w:gridSpan w:val="2"/>
          </w:tcPr>
          <w:p w:rsidR="00E819CC" w:rsidRPr="00911657" w:rsidRDefault="00E819CC" w:rsidP="006D4B1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</w:tcPr>
          <w:p w:rsidR="00E819CC" w:rsidRPr="00911657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Էլ.փոստ</w:t>
            </w:r>
          </w:p>
        </w:tc>
        <w:tc>
          <w:tcPr>
            <w:tcW w:w="3327" w:type="dxa"/>
          </w:tcPr>
          <w:p w:rsidR="00E819CC" w:rsidRPr="00911657" w:rsidRDefault="00E819CC" w:rsidP="007C0427">
            <w:pPr>
              <w:tabs>
                <w:tab w:val="left" w:pos="7935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admin@pharm.am</w:t>
            </w:r>
          </w:p>
        </w:tc>
      </w:tr>
      <w:tr w:rsidR="00E819CC" w:rsidRPr="00911657" w:rsidTr="008237D7">
        <w:tc>
          <w:tcPr>
            <w:tcW w:w="1668" w:type="dxa"/>
          </w:tcPr>
          <w:p w:rsidR="00E819CC" w:rsidRPr="00911657" w:rsidRDefault="00E819CC" w:rsidP="008A4EC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Բանկային </w:t>
            </w:r>
            <w:proofErr w:type="spellStart"/>
            <w:r w:rsidR="008A4EC6" w:rsidRPr="00911657">
              <w:rPr>
                <w:rFonts w:ascii="GHEA Grapalat" w:hAnsi="GHEA Grapalat"/>
                <w:sz w:val="20"/>
                <w:szCs w:val="20"/>
                <w:lang w:val="en-US"/>
              </w:rPr>
              <w:t>տվյալներ</w:t>
            </w:r>
            <w:proofErr w:type="spellEnd"/>
          </w:p>
        </w:tc>
        <w:tc>
          <w:tcPr>
            <w:tcW w:w="3772" w:type="dxa"/>
            <w:gridSpan w:val="2"/>
          </w:tcPr>
          <w:p w:rsidR="00E819CC" w:rsidRPr="00911657" w:rsidRDefault="00E819CC" w:rsidP="00CE5140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vMerge w:val="restart"/>
          </w:tcPr>
          <w:p w:rsidR="00E819CC" w:rsidRPr="00911657" w:rsidRDefault="00E819CC" w:rsidP="008A4EC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Բանկային </w:t>
            </w:r>
            <w:proofErr w:type="spellStart"/>
            <w:r w:rsidR="008A4EC6" w:rsidRPr="00911657">
              <w:rPr>
                <w:rFonts w:ascii="GHEA Grapalat" w:hAnsi="GHEA Grapalat"/>
                <w:sz w:val="20"/>
                <w:szCs w:val="20"/>
                <w:lang w:val="en-US"/>
              </w:rPr>
              <w:t>տվյալներ</w:t>
            </w:r>
            <w:proofErr w:type="spellEnd"/>
          </w:p>
        </w:tc>
        <w:tc>
          <w:tcPr>
            <w:tcW w:w="3327" w:type="dxa"/>
          </w:tcPr>
          <w:p w:rsidR="00D37358" w:rsidRPr="00911657" w:rsidRDefault="00D37358" w:rsidP="00D37358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Times Armenian"/>
                <w:sz w:val="20"/>
                <w:szCs w:val="20"/>
                <w:lang w:val="hy-AM" w:eastAsia="en-US"/>
              </w:rPr>
            </w:pPr>
            <w:r w:rsidRPr="00911657">
              <w:rPr>
                <w:rFonts w:ascii="GHEA Grapalat" w:eastAsiaTheme="minorHAnsi" w:hAnsi="GHEA Grapalat" w:cs="Sylfaen"/>
                <w:sz w:val="20"/>
                <w:szCs w:val="20"/>
                <w:lang w:val="hy-AM" w:eastAsia="en-US"/>
              </w:rPr>
              <w:t>ՍՏԱՑՈՂԻ</w:t>
            </w:r>
            <w:r w:rsidRPr="00911657">
              <w:rPr>
                <w:rFonts w:ascii="GHEA Grapalat" w:eastAsiaTheme="minorHAnsi" w:hAnsi="GHEA Grapalat" w:cs="Times Armenian"/>
                <w:sz w:val="20"/>
                <w:szCs w:val="20"/>
                <w:lang w:val="hy-AM" w:eastAsia="en-US"/>
              </w:rPr>
              <w:t xml:space="preserve"> </w:t>
            </w:r>
            <w:r w:rsidRPr="00911657">
              <w:rPr>
                <w:rFonts w:ascii="GHEA Grapalat" w:eastAsiaTheme="minorHAnsi" w:hAnsi="GHEA Grapalat" w:cs="Sylfaen"/>
                <w:sz w:val="20"/>
                <w:szCs w:val="20"/>
                <w:lang w:val="hy-AM" w:eastAsia="en-US"/>
              </w:rPr>
              <w:t>ԲԱՆԿ</w:t>
            </w:r>
          </w:p>
          <w:p w:rsidR="00D37358" w:rsidRPr="00911657" w:rsidRDefault="00D37358" w:rsidP="00D37358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Times Armenian"/>
                <w:b/>
                <w:sz w:val="20"/>
                <w:szCs w:val="20"/>
                <w:lang w:val="hy-AM" w:eastAsia="en-US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911657">
              <w:rPr>
                <w:rFonts w:ascii="GHEA Grapalat" w:eastAsiaTheme="minorHAnsi" w:hAnsi="GHEA Grapalat" w:cs="Sylfaen"/>
                <w:b/>
                <w:sz w:val="20"/>
                <w:szCs w:val="20"/>
                <w:lang w:val="hy-AM" w:eastAsia="en-US"/>
              </w:rPr>
              <w:t>ԿՈՆՎԵՐՍ</w:t>
            </w:r>
            <w:r w:rsidRPr="00911657">
              <w:rPr>
                <w:rFonts w:ascii="GHEA Grapalat" w:eastAsiaTheme="minorHAnsi" w:hAnsi="GHEA Grapalat" w:cs="Times Armenian"/>
                <w:b/>
                <w:sz w:val="20"/>
                <w:szCs w:val="20"/>
                <w:lang w:val="hy-AM" w:eastAsia="en-US"/>
              </w:rPr>
              <w:t xml:space="preserve"> </w:t>
            </w:r>
            <w:r w:rsidRPr="00911657">
              <w:rPr>
                <w:rFonts w:ascii="GHEA Grapalat" w:eastAsiaTheme="minorHAnsi" w:hAnsi="GHEA Grapalat" w:cs="Sylfaen"/>
                <w:b/>
                <w:sz w:val="20"/>
                <w:szCs w:val="20"/>
                <w:lang w:val="hy-AM" w:eastAsia="en-US"/>
              </w:rPr>
              <w:t>ԲԱՆԿ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911657">
              <w:rPr>
                <w:rFonts w:ascii="GHEA Grapalat" w:eastAsiaTheme="minorHAnsi" w:hAnsi="GHEA Grapalat" w:cs="Times Armenian"/>
                <w:b/>
                <w:sz w:val="20"/>
                <w:szCs w:val="20"/>
                <w:lang w:val="hy-AM" w:eastAsia="en-US"/>
              </w:rPr>
              <w:t xml:space="preserve"> </w:t>
            </w:r>
            <w:r w:rsidRPr="00911657">
              <w:rPr>
                <w:rFonts w:ascii="GHEA Grapalat" w:eastAsiaTheme="minorHAnsi" w:hAnsi="GHEA Grapalat" w:cs="Sylfaen"/>
                <w:b/>
                <w:sz w:val="20"/>
                <w:szCs w:val="20"/>
                <w:lang w:val="hy-AM" w:eastAsia="en-US"/>
              </w:rPr>
              <w:t>ՓԲԸ</w:t>
            </w:r>
          </w:p>
          <w:p w:rsidR="00D37358" w:rsidRPr="00911657" w:rsidRDefault="00D37358" w:rsidP="00D37358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  <w:r w:rsidRPr="00911657">
              <w:rPr>
                <w:rFonts w:ascii="GHEA Grapalat" w:eastAsiaTheme="minorHAnsi" w:hAnsi="GHEA Grapalat" w:cs="Sylfaen"/>
                <w:sz w:val="20"/>
                <w:szCs w:val="20"/>
                <w:lang w:val="hy-AM" w:eastAsia="en-US"/>
              </w:rPr>
              <w:t>ԲԱՆԿԱՅԻՆ</w:t>
            </w:r>
            <w:r w:rsidRPr="00911657">
              <w:rPr>
                <w:rFonts w:ascii="GHEA Grapalat" w:eastAsiaTheme="minorHAnsi" w:hAnsi="GHEA Grapalat" w:cs="Times Armenian"/>
                <w:sz w:val="20"/>
                <w:szCs w:val="20"/>
                <w:lang w:val="hy-AM" w:eastAsia="en-US"/>
              </w:rPr>
              <w:t xml:space="preserve"> </w:t>
            </w:r>
            <w:r w:rsidRPr="00911657">
              <w:rPr>
                <w:rFonts w:ascii="GHEA Grapalat" w:eastAsiaTheme="minorHAnsi" w:hAnsi="GHEA Grapalat" w:cs="Sylfaen"/>
                <w:sz w:val="20"/>
                <w:szCs w:val="20"/>
                <w:lang w:val="hy-AM" w:eastAsia="en-US"/>
              </w:rPr>
              <w:t>ՀԱՇԻՎ</w:t>
            </w:r>
            <w:r w:rsidRPr="00911657">
              <w:rPr>
                <w:rFonts w:ascii="GHEA Grapalat" w:eastAsiaTheme="minorHAnsi" w:hAnsi="GHEA Grapalat" w:cs="Times Armenian"/>
                <w:sz w:val="20"/>
                <w:szCs w:val="20"/>
                <w:lang w:val="hy-AM" w:eastAsia="en-US"/>
              </w:rPr>
              <w:t xml:space="preserve"> </w:t>
            </w:r>
            <w:r w:rsidRPr="00911657">
              <w:rPr>
                <w:rFonts w:ascii="GHEA Grapalat" w:eastAsiaTheme="minorHAnsi" w:hAnsi="GHEA Grapalat" w:cs="Times Armenian"/>
                <w:b/>
                <w:sz w:val="20"/>
                <w:szCs w:val="20"/>
                <w:lang w:val="hy-AM" w:eastAsia="en-US"/>
              </w:rPr>
              <w:t>1930003433040100</w:t>
            </w:r>
          </w:p>
          <w:p w:rsidR="00E819CC" w:rsidRPr="00911657" w:rsidRDefault="00E819CC" w:rsidP="00E90125">
            <w:pPr>
              <w:spacing w:line="276" w:lineRule="auto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90125" w:rsidRPr="00911657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E819CC" w:rsidRPr="00911657" w:rsidTr="008237D7">
        <w:tc>
          <w:tcPr>
            <w:tcW w:w="1668" w:type="dxa"/>
          </w:tcPr>
          <w:p w:rsidR="00E819CC" w:rsidRPr="00911657" w:rsidRDefault="00E819CC" w:rsidP="00E50CCB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72" w:type="dxa"/>
            <w:gridSpan w:val="2"/>
          </w:tcPr>
          <w:p w:rsidR="00E819CC" w:rsidRPr="00911657" w:rsidRDefault="00E819CC" w:rsidP="00E50CC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70" w:type="dxa"/>
            <w:vMerge/>
          </w:tcPr>
          <w:p w:rsidR="00E819CC" w:rsidRPr="00911657" w:rsidRDefault="00E819CC" w:rsidP="00B467B6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327" w:type="dxa"/>
          </w:tcPr>
          <w:p w:rsidR="00D37358" w:rsidRPr="00911657" w:rsidRDefault="00D37358" w:rsidP="00D37358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Times Armenian"/>
                <w:sz w:val="20"/>
                <w:szCs w:val="20"/>
                <w:lang w:val="hy-AM" w:eastAsia="en-US"/>
              </w:rPr>
            </w:pPr>
            <w:r w:rsidRPr="00911657">
              <w:rPr>
                <w:rFonts w:ascii="GHEA Grapalat" w:eastAsiaTheme="minorHAnsi" w:hAnsi="GHEA Grapalat" w:cs="Sylfaen"/>
                <w:sz w:val="20"/>
                <w:szCs w:val="20"/>
                <w:lang w:val="hy-AM" w:eastAsia="en-US"/>
              </w:rPr>
              <w:t>ՍՏԱՑՈՂԻ</w:t>
            </w:r>
            <w:r w:rsidRPr="00911657">
              <w:rPr>
                <w:rFonts w:ascii="GHEA Grapalat" w:eastAsiaTheme="minorHAnsi" w:hAnsi="GHEA Grapalat" w:cs="Times Armenian"/>
                <w:sz w:val="20"/>
                <w:szCs w:val="20"/>
                <w:lang w:val="hy-AM" w:eastAsia="en-US"/>
              </w:rPr>
              <w:t xml:space="preserve"> </w:t>
            </w:r>
            <w:r w:rsidRPr="00911657">
              <w:rPr>
                <w:rFonts w:ascii="GHEA Grapalat" w:eastAsiaTheme="minorHAnsi" w:hAnsi="GHEA Grapalat" w:cs="Sylfaen"/>
                <w:sz w:val="20"/>
                <w:szCs w:val="20"/>
                <w:lang w:val="hy-AM" w:eastAsia="en-US"/>
              </w:rPr>
              <w:t>ԲԱՆԿ</w:t>
            </w:r>
          </w:p>
          <w:p w:rsidR="00D37358" w:rsidRPr="00911657" w:rsidRDefault="00D37358" w:rsidP="00D37358">
            <w:pPr>
              <w:autoSpaceDE w:val="0"/>
              <w:autoSpaceDN w:val="0"/>
              <w:adjustRightInd w:val="0"/>
              <w:rPr>
                <w:rFonts w:ascii="GHEA Grapalat" w:eastAsiaTheme="minorHAnsi" w:hAnsi="GHEA Grapalat" w:cs="Times Armenian"/>
                <w:b/>
                <w:sz w:val="20"/>
                <w:szCs w:val="20"/>
                <w:lang w:val="hy-AM" w:eastAsia="en-US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ԱՄԵՐԻԱ</w:t>
            </w:r>
            <w:r w:rsidRPr="00911657">
              <w:rPr>
                <w:rFonts w:ascii="GHEA Grapalat" w:eastAsiaTheme="minorHAnsi" w:hAnsi="GHEA Grapalat" w:cs="Times Armenian"/>
                <w:b/>
                <w:sz w:val="20"/>
                <w:szCs w:val="20"/>
                <w:lang w:val="hy-AM" w:eastAsia="en-US"/>
              </w:rPr>
              <w:t xml:space="preserve"> </w:t>
            </w:r>
            <w:r w:rsidRPr="00911657">
              <w:rPr>
                <w:rFonts w:ascii="GHEA Grapalat" w:eastAsiaTheme="minorHAnsi" w:hAnsi="GHEA Grapalat" w:cs="Sylfaen"/>
                <w:b/>
                <w:sz w:val="20"/>
                <w:szCs w:val="20"/>
                <w:lang w:val="hy-AM" w:eastAsia="en-US"/>
              </w:rPr>
              <w:t>ԲԱՆԿ</w:t>
            </w: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911657">
              <w:rPr>
                <w:rFonts w:ascii="GHEA Grapalat" w:eastAsiaTheme="minorHAnsi" w:hAnsi="GHEA Grapalat" w:cs="Times Armenian"/>
                <w:b/>
                <w:sz w:val="20"/>
                <w:szCs w:val="20"/>
                <w:lang w:val="hy-AM" w:eastAsia="en-US"/>
              </w:rPr>
              <w:t xml:space="preserve"> </w:t>
            </w:r>
            <w:r w:rsidRPr="00911657">
              <w:rPr>
                <w:rFonts w:ascii="GHEA Grapalat" w:eastAsiaTheme="minorHAnsi" w:hAnsi="GHEA Grapalat" w:cs="Sylfaen"/>
                <w:b/>
                <w:sz w:val="20"/>
                <w:szCs w:val="20"/>
                <w:lang w:val="hy-AM" w:eastAsia="en-US"/>
              </w:rPr>
              <w:t>ՓԲԸ</w:t>
            </w:r>
          </w:p>
          <w:p w:rsidR="00D37358" w:rsidRPr="00911657" w:rsidRDefault="00D37358" w:rsidP="008A4EC6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11657">
              <w:rPr>
                <w:rFonts w:ascii="GHEA Grapalat" w:eastAsiaTheme="minorHAnsi" w:hAnsi="GHEA Grapalat" w:cs="Sylfaen"/>
                <w:sz w:val="20"/>
                <w:szCs w:val="20"/>
                <w:lang w:val="hy-AM" w:eastAsia="en-US"/>
              </w:rPr>
              <w:t>ԲԱՆԿԱՅԻՆ</w:t>
            </w:r>
            <w:r w:rsidR="008A4EC6" w:rsidRPr="00911657">
              <w:rPr>
                <w:rFonts w:ascii="GHEA Grapalat" w:eastAsiaTheme="minorHAnsi" w:hAnsi="GHEA Grapalat" w:cs="Sylfaen"/>
                <w:sz w:val="20"/>
                <w:szCs w:val="20"/>
                <w:lang w:val="hy-AM" w:eastAsia="en-US"/>
              </w:rPr>
              <w:t xml:space="preserve"> </w:t>
            </w:r>
            <w:r w:rsidRPr="00911657">
              <w:rPr>
                <w:rFonts w:ascii="GHEA Grapalat" w:eastAsiaTheme="minorHAnsi" w:hAnsi="GHEA Grapalat" w:cs="Sylfaen"/>
                <w:sz w:val="20"/>
                <w:szCs w:val="20"/>
                <w:lang w:val="hy-AM" w:eastAsia="en-US"/>
              </w:rPr>
              <w:t>ՀԱՇԻՎ</w:t>
            </w:r>
            <w:r w:rsidRPr="00911657">
              <w:rPr>
                <w:rFonts w:ascii="GHEA Grapalat" w:eastAsiaTheme="minorHAnsi" w:hAnsi="GHEA Grapalat" w:cs="Times Armenian"/>
                <w:sz w:val="20"/>
                <w:szCs w:val="20"/>
                <w:lang w:val="hy-AM" w:eastAsia="en-US"/>
              </w:rPr>
              <w:t xml:space="preserve"> </w:t>
            </w:r>
            <w:r w:rsidRPr="00911657">
              <w:rPr>
                <w:rFonts w:ascii="GHEA Grapalat" w:eastAsiaTheme="minorHAnsi" w:hAnsi="GHEA Grapalat" w:cs="Times Armenian"/>
                <w:b/>
                <w:sz w:val="20"/>
                <w:szCs w:val="20"/>
                <w:lang w:val="hy-AM" w:eastAsia="en-US"/>
              </w:rPr>
              <w:t>1570015951390100</w:t>
            </w:r>
            <w:r w:rsidRPr="0091165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E819CC" w:rsidRPr="00911657" w:rsidRDefault="00D37358" w:rsidP="00D3735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(ՀՀ դրամ)</w:t>
            </w:r>
          </w:p>
        </w:tc>
      </w:tr>
      <w:tr w:rsidR="00E819CC" w:rsidRPr="00911657" w:rsidTr="008237D7">
        <w:tc>
          <w:tcPr>
            <w:tcW w:w="5440" w:type="dxa"/>
            <w:gridSpan w:val="3"/>
          </w:tcPr>
          <w:p w:rsidR="00E819CC" w:rsidRPr="00911657" w:rsidRDefault="00E819CC" w:rsidP="007367F9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Տնօրեն՝ ----------------------------</w:t>
            </w:r>
          </w:p>
        </w:tc>
        <w:tc>
          <w:tcPr>
            <w:tcW w:w="4697" w:type="dxa"/>
            <w:gridSpan w:val="2"/>
          </w:tcPr>
          <w:p w:rsidR="00E819CC" w:rsidRPr="00911657" w:rsidRDefault="00E819CC" w:rsidP="00D816A0">
            <w:pPr>
              <w:tabs>
                <w:tab w:val="left" w:pos="90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Տնօրեն՝ Արայիկ Բաղրյան</w:t>
            </w:r>
          </w:p>
        </w:tc>
      </w:tr>
      <w:tr w:rsidR="00E819CC" w:rsidRPr="00911657" w:rsidTr="008237D7">
        <w:tc>
          <w:tcPr>
            <w:tcW w:w="5440" w:type="dxa"/>
            <w:gridSpan w:val="3"/>
          </w:tcPr>
          <w:p w:rsidR="00E819CC" w:rsidRPr="00911657" w:rsidRDefault="00E819CC" w:rsidP="00A1433F">
            <w:pPr>
              <w:tabs>
                <w:tab w:val="left" w:pos="90"/>
              </w:tabs>
              <w:spacing w:before="120"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________________________________Կ.Տ</w:t>
            </w:r>
          </w:p>
        </w:tc>
        <w:tc>
          <w:tcPr>
            <w:tcW w:w="4697" w:type="dxa"/>
            <w:gridSpan w:val="2"/>
          </w:tcPr>
          <w:p w:rsidR="00E819CC" w:rsidRPr="00911657" w:rsidRDefault="00E819CC" w:rsidP="008A397A">
            <w:pPr>
              <w:tabs>
                <w:tab w:val="left" w:pos="7935"/>
              </w:tabs>
              <w:spacing w:before="120"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11657">
              <w:rPr>
                <w:rFonts w:ascii="GHEA Grapalat" w:hAnsi="GHEA Grapalat"/>
                <w:sz w:val="20"/>
                <w:szCs w:val="20"/>
                <w:lang w:val="hy-AM"/>
              </w:rPr>
              <w:t>_______________________Կ.Տ.</w:t>
            </w:r>
          </w:p>
        </w:tc>
      </w:tr>
    </w:tbl>
    <w:p w:rsidR="00C650ED" w:rsidRPr="00911657" w:rsidRDefault="00C650ED" w:rsidP="00570665">
      <w:pPr>
        <w:spacing w:line="276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sectPr w:rsidR="00C650ED" w:rsidRPr="00911657" w:rsidSect="00DC42B6">
      <w:footerReference w:type="default" r:id="rId9"/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A2" w:rsidRDefault="005442A2" w:rsidP="009A37B4">
      <w:r>
        <w:separator/>
      </w:r>
    </w:p>
  </w:endnote>
  <w:endnote w:type="continuationSeparator" w:id="0">
    <w:p w:rsidR="005442A2" w:rsidRDefault="005442A2" w:rsidP="009A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356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2B6" w:rsidRDefault="00DC42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BFA">
          <w:rPr>
            <w:noProof/>
          </w:rPr>
          <w:t>3</w:t>
        </w:r>
        <w:r>
          <w:rPr>
            <w:noProof/>
          </w:rPr>
          <w:fldChar w:fldCharType="end"/>
        </w:r>
        <w:r w:rsidR="00D84308">
          <w:rPr>
            <w:noProof/>
            <w:lang w:val="en-US"/>
          </w:rPr>
          <w:t>/5</w:t>
        </w:r>
      </w:p>
    </w:sdtContent>
  </w:sdt>
  <w:p w:rsidR="00DC42B6" w:rsidRDefault="00DC4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A2" w:rsidRDefault="005442A2" w:rsidP="009A37B4">
      <w:r>
        <w:separator/>
      </w:r>
    </w:p>
  </w:footnote>
  <w:footnote w:type="continuationSeparator" w:id="0">
    <w:p w:rsidR="005442A2" w:rsidRDefault="005442A2" w:rsidP="009A3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F4C"/>
    <w:multiLevelType w:val="hybridMultilevel"/>
    <w:tmpl w:val="94702A34"/>
    <w:lvl w:ilvl="0" w:tplc="011E2CA6">
      <w:start w:val="1"/>
      <w:numFmt w:val="decimal"/>
      <w:lvlText w:val="2.4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C6D5F09"/>
    <w:multiLevelType w:val="hybridMultilevel"/>
    <w:tmpl w:val="54D4E328"/>
    <w:lvl w:ilvl="0" w:tplc="26969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2E6F"/>
    <w:multiLevelType w:val="hybridMultilevel"/>
    <w:tmpl w:val="DBFA9DD4"/>
    <w:lvl w:ilvl="0" w:tplc="7B12BF1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72A6"/>
    <w:multiLevelType w:val="hybridMultilevel"/>
    <w:tmpl w:val="43F808F8"/>
    <w:lvl w:ilvl="0" w:tplc="7A30135C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B04AA"/>
    <w:multiLevelType w:val="multilevel"/>
    <w:tmpl w:val="33CA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  <w:b/>
        <w:i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Sylfaen" w:hAnsi="Sylfaen"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abstractNum w:abstractNumId="5">
    <w:nsid w:val="12AF6821"/>
    <w:multiLevelType w:val="multilevel"/>
    <w:tmpl w:val="33CA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  <w:b/>
        <w:i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Sylfaen" w:hAnsi="Sylfaen"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abstractNum w:abstractNumId="6">
    <w:nsid w:val="16ED362B"/>
    <w:multiLevelType w:val="hybridMultilevel"/>
    <w:tmpl w:val="6916EE4A"/>
    <w:lvl w:ilvl="0" w:tplc="2B54B04A">
      <w:start w:val="1"/>
      <w:numFmt w:val="decimal"/>
      <w:lvlText w:val="5.%1"/>
      <w:lvlJc w:val="left"/>
      <w:pPr>
        <w:ind w:left="107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6FED"/>
    <w:multiLevelType w:val="multilevel"/>
    <w:tmpl w:val="33CA2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Sylfaen" w:hAnsi="Sylfaen" w:cs="Sylfaen" w:hint="default"/>
        <w:b/>
        <w:i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Sylfaen" w:hAnsi="Sylfaen" w:cs="Sylfae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Sylfaen" w:hAnsi="Sylfaen" w:cs="Sylfaen" w:hint="default"/>
      </w:rPr>
    </w:lvl>
  </w:abstractNum>
  <w:abstractNum w:abstractNumId="8">
    <w:nsid w:val="22CE70C0"/>
    <w:multiLevelType w:val="hybridMultilevel"/>
    <w:tmpl w:val="57F24522"/>
    <w:lvl w:ilvl="0" w:tplc="92CE82DA">
      <w:start w:val="1"/>
      <w:numFmt w:val="decimal"/>
      <w:lvlText w:val="5.%1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1E37DB"/>
    <w:multiLevelType w:val="hybridMultilevel"/>
    <w:tmpl w:val="450C57E0"/>
    <w:lvl w:ilvl="0" w:tplc="A970C648">
      <w:start w:val="1"/>
      <w:numFmt w:val="decimal"/>
      <w:lvlText w:val="2.3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26820FCF"/>
    <w:multiLevelType w:val="hybridMultilevel"/>
    <w:tmpl w:val="83364678"/>
    <w:lvl w:ilvl="0" w:tplc="BCF82CC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7996049"/>
    <w:multiLevelType w:val="multilevel"/>
    <w:tmpl w:val="7534DE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89B7FE3"/>
    <w:multiLevelType w:val="hybridMultilevel"/>
    <w:tmpl w:val="1010AC34"/>
    <w:lvl w:ilvl="0" w:tplc="FAAE9D5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6CA7"/>
    <w:multiLevelType w:val="multilevel"/>
    <w:tmpl w:val="185868B2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4">
    <w:nsid w:val="32657DFE"/>
    <w:multiLevelType w:val="hybridMultilevel"/>
    <w:tmpl w:val="5B9A9FBA"/>
    <w:lvl w:ilvl="0" w:tplc="308025BA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4695E65"/>
    <w:multiLevelType w:val="hybridMultilevel"/>
    <w:tmpl w:val="84B6A558"/>
    <w:lvl w:ilvl="0" w:tplc="08AE7CE8">
      <w:start w:val="1"/>
      <w:numFmt w:val="decimal"/>
      <w:lvlText w:val="2.%1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36186A0D"/>
    <w:multiLevelType w:val="hybridMultilevel"/>
    <w:tmpl w:val="CAFCB846"/>
    <w:lvl w:ilvl="0" w:tplc="0C80C54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679E2"/>
    <w:multiLevelType w:val="hybridMultilevel"/>
    <w:tmpl w:val="6862E870"/>
    <w:lvl w:ilvl="0" w:tplc="8CD4375A">
      <w:start w:val="1"/>
      <w:numFmt w:val="decimal"/>
      <w:lvlText w:val="5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419A2"/>
    <w:multiLevelType w:val="singleLevel"/>
    <w:tmpl w:val="79BCB3D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</w:abstractNum>
  <w:abstractNum w:abstractNumId="19">
    <w:nsid w:val="3AFA5B23"/>
    <w:multiLevelType w:val="multilevel"/>
    <w:tmpl w:val="041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CBE7CDC"/>
    <w:multiLevelType w:val="hybridMultilevel"/>
    <w:tmpl w:val="C838A3B4"/>
    <w:lvl w:ilvl="0" w:tplc="04090019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>
    <w:nsid w:val="3FE206FE"/>
    <w:multiLevelType w:val="hybridMultilevel"/>
    <w:tmpl w:val="B036945E"/>
    <w:lvl w:ilvl="0" w:tplc="4880E94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E296E"/>
    <w:multiLevelType w:val="hybridMultilevel"/>
    <w:tmpl w:val="4E7E9B1C"/>
    <w:lvl w:ilvl="0" w:tplc="F44A7F16">
      <w:start w:val="1"/>
      <w:numFmt w:val="decimal"/>
      <w:lvlText w:val="8.%1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28" w:hanging="360"/>
      </w:pPr>
    </w:lvl>
    <w:lvl w:ilvl="2" w:tplc="0419001B" w:tentative="1">
      <w:start w:val="1"/>
      <w:numFmt w:val="lowerRoman"/>
      <w:lvlText w:val="%3."/>
      <w:lvlJc w:val="right"/>
      <w:pPr>
        <w:ind w:left="1448" w:hanging="180"/>
      </w:pPr>
    </w:lvl>
    <w:lvl w:ilvl="3" w:tplc="0419000F" w:tentative="1">
      <w:start w:val="1"/>
      <w:numFmt w:val="decimal"/>
      <w:lvlText w:val="%4."/>
      <w:lvlJc w:val="left"/>
      <w:pPr>
        <w:ind w:left="2168" w:hanging="360"/>
      </w:pPr>
    </w:lvl>
    <w:lvl w:ilvl="4" w:tplc="04190019" w:tentative="1">
      <w:start w:val="1"/>
      <w:numFmt w:val="lowerLetter"/>
      <w:lvlText w:val="%5."/>
      <w:lvlJc w:val="left"/>
      <w:pPr>
        <w:ind w:left="2888" w:hanging="360"/>
      </w:pPr>
    </w:lvl>
    <w:lvl w:ilvl="5" w:tplc="0419001B" w:tentative="1">
      <w:start w:val="1"/>
      <w:numFmt w:val="lowerRoman"/>
      <w:lvlText w:val="%6."/>
      <w:lvlJc w:val="right"/>
      <w:pPr>
        <w:ind w:left="3608" w:hanging="180"/>
      </w:pPr>
    </w:lvl>
    <w:lvl w:ilvl="6" w:tplc="0419000F" w:tentative="1">
      <w:start w:val="1"/>
      <w:numFmt w:val="decimal"/>
      <w:lvlText w:val="%7."/>
      <w:lvlJc w:val="left"/>
      <w:pPr>
        <w:ind w:left="4328" w:hanging="360"/>
      </w:pPr>
    </w:lvl>
    <w:lvl w:ilvl="7" w:tplc="04190019" w:tentative="1">
      <w:start w:val="1"/>
      <w:numFmt w:val="lowerLetter"/>
      <w:lvlText w:val="%8."/>
      <w:lvlJc w:val="left"/>
      <w:pPr>
        <w:ind w:left="5048" w:hanging="360"/>
      </w:pPr>
    </w:lvl>
    <w:lvl w:ilvl="8" w:tplc="041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3">
    <w:nsid w:val="455B6D46"/>
    <w:multiLevelType w:val="hybridMultilevel"/>
    <w:tmpl w:val="5FB872FC"/>
    <w:lvl w:ilvl="0" w:tplc="C6C2936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6C94BB5"/>
    <w:multiLevelType w:val="hybridMultilevel"/>
    <w:tmpl w:val="3CB2DBE8"/>
    <w:lvl w:ilvl="0" w:tplc="63CE5B50">
      <w:start w:val="1"/>
      <w:numFmt w:val="decimal"/>
      <w:lvlText w:val="2.2%1"/>
      <w:lvlJc w:val="left"/>
      <w:pPr>
        <w:ind w:left="107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26ADA"/>
    <w:multiLevelType w:val="hybridMultilevel"/>
    <w:tmpl w:val="02CC9C58"/>
    <w:lvl w:ilvl="0" w:tplc="7A30135C">
      <w:start w:val="1"/>
      <w:numFmt w:val="decimal"/>
      <w:lvlText w:val="2.2.%1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240FC9"/>
    <w:multiLevelType w:val="hybridMultilevel"/>
    <w:tmpl w:val="63C4C3F8"/>
    <w:lvl w:ilvl="0" w:tplc="011E2CA6">
      <w:start w:val="1"/>
      <w:numFmt w:val="decimal"/>
      <w:lvlText w:val="2.4.%1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C87629"/>
    <w:multiLevelType w:val="hybridMultilevel"/>
    <w:tmpl w:val="EBC2FD3A"/>
    <w:lvl w:ilvl="0" w:tplc="3CE20CC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13D2F61"/>
    <w:multiLevelType w:val="hybridMultilevel"/>
    <w:tmpl w:val="41D4AE84"/>
    <w:lvl w:ilvl="0" w:tplc="6ACA20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4222983"/>
    <w:multiLevelType w:val="hybridMultilevel"/>
    <w:tmpl w:val="924E351C"/>
    <w:lvl w:ilvl="0" w:tplc="DC02CC9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0">
    <w:nsid w:val="656C3303"/>
    <w:multiLevelType w:val="multilevel"/>
    <w:tmpl w:val="64B02D2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1">
    <w:nsid w:val="699E0D27"/>
    <w:multiLevelType w:val="hybridMultilevel"/>
    <w:tmpl w:val="626E8C1E"/>
    <w:lvl w:ilvl="0" w:tplc="F44812E2">
      <w:start w:val="2"/>
      <w:numFmt w:val="decimal"/>
      <w:lvlText w:val="2.1.1.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F720F"/>
    <w:multiLevelType w:val="hybridMultilevel"/>
    <w:tmpl w:val="6F9C4542"/>
    <w:lvl w:ilvl="0" w:tplc="3FD426E8">
      <w:start w:val="1"/>
      <w:numFmt w:val="decimal"/>
      <w:lvlText w:val="2.1.%1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77F136EF"/>
    <w:multiLevelType w:val="hybridMultilevel"/>
    <w:tmpl w:val="4244841A"/>
    <w:lvl w:ilvl="0" w:tplc="1602B96A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8DD096A"/>
    <w:multiLevelType w:val="hybridMultilevel"/>
    <w:tmpl w:val="B07AB17C"/>
    <w:lvl w:ilvl="0" w:tplc="63CE5B50">
      <w:start w:val="1"/>
      <w:numFmt w:val="decimal"/>
      <w:lvlText w:val="2.2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045DD"/>
    <w:multiLevelType w:val="hybridMultilevel"/>
    <w:tmpl w:val="D842135C"/>
    <w:lvl w:ilvl="0" w:tplc="6EBED13E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B9973F3"/>
    <w:multiLevelType w:val="hybridMultilevel"/>
    <w:tmpl w:val="F670EF4A"/>
    <w:lvl w:ilvl="0" w:tplc="6EBED13E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5" w:hanging="360"/>
      </w:pPr>
    </w:lvl>
    <w:lvl w:ilvl="2" w:tplc="0419001B" w:tentative="1">
      <w:start w:val="1"/>
      <w:numFmt w:val="lowerRoman"/>
      <w:lvlText w:val="%3."/>
      <w:lvlJc w:val="right"/>
      <w:pPr>
        <w:ind w:left="1685" w:hanging="180"/>
      </w:pPr>
    </w:lvl>
    <w:lvl w:ilvl="3" w:tplc="0419000F" w:tentative="1">
      <w:start w:val="1"/>
      <w:numFmt w:val="decimal"/>
      <w:lvlText w:val="%4."/>
      <w:lvlJc w:val="left"/>
      <w:pPr>
        <w:ind w:left="2405" w:hanging="360"/>
      </w:pPr>
    </w:lvl>
    <w:lvl w:ilvl="4" w:tplc="04190019" w:tentative="1">
      <w:start w:val="1"/>
      <w:numFmt w:val="lowerLetter"/>
      <w:lvlText w:val="%5."/>
      <w:lvlJc w:val="left"/>
      <w:pPr>
        <w:ind w:left="3125" w:hanging="360"/>
      </w:pPr>
    </w:lvl>
    <w:lvl w:ilvl="5" w:tplc="0419001B" w:tentative="1">
      <w:start w:val="1"/>
      <w:numFmt w:val="lowerRoman"/>
      <w:lvlText w:val="%6."/>
      <w:lvlJc w:val="right"/>
      <w:pPr>
        <w:ind w:left="3845" w:hanging="180"/>
      </w:pPr>
    </w:lvl>
    <w:lvl w:ilvl="6" w:tplc="0419000F" w:tentative="1">
      <w:start w:val="1"/>
      <w:numFmt w:val="decimal"/>
      <w:lvlText w:val="%7."/>
      <w:lvlJc w:val="left"/>
      <w:pPr>
        <w:ind w:left="4565" w:hanging="360"/>
      </w:pPr>
    </w:lvl>
    <w:lvl w:ilvl="7" w:tplc="04190019" w:tentative="1">
      <w:start w:val="1"/>
      <w:numFmt w:val="lowerLetter"/>
      <w:lvlText w:val="%8."/>
      <w:lvlJc w:val="left"/>
      <w:pPr>
        <w:ind w:left="5285" w:hanging="360"/>
      </w:pPr>
    </w:lvl>
    <w:lvl w:ilvl="8" w:tplc="0419001B" w:tentative="1">
      <w:start w:val="1"/>
      <w:numFmt w:val="lowerRoman"/>
      <w:lvlText w:val="%9."/>
      <w:lvlJc w:val="right"/>
      <w:pPr>
        <w:ind w:left="6005" w:hanging="180"/>
      </w:p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16"/>
  </w:num>
  <w:num w:numId="5">
    <w:abstractNumId w:val="7"/>
  </w:num>
  <w:num w:numId="6">
    <w:abstractNumId w:val="33"/>
  </w:num>
  <w:num w:numId="7">
    <w:abstractNumId w:val="20"/>
  </w:num>
  <w:num w:numId="8">
    <w:abstractNumId w:val="13"/>
  </w:num>
  <w:num w:numId="9">
    <w:abstractNumId w:val="31"/>
  </w:num>
  <w:num w:numId="10">
    <w:abstractNumId w:val="32"/>
  </w:num>
  <w:num w:numId="11">
    <w:abstractNumId w:val="24"/>
  </w:num>
  <w:num w:numId="12">
    <w:abstractNumId w:val="15"/>
  </w:num>
  <w:num w:numId="13">
    <w:abstractNumId w:val="34"/>
  </w:num>
  <w:num w:numId="14">
    <w:abstractNumId w:val="25"/>
  </w:num>
  <w:num w:numId="15">
    <w:abstractNumId w:val="3"/>
  </w:num>
  <w:num w:numId="16">
    <w:abstractNumId w:val="9"/>
  </w:num>
  <w:num w:numId="17">
    <w:abstractNumId w:val="26"/>
  </w:num>
  <w:num w:numId="18">
    <w:abstractNumId w:val="0"/>
  </w:num>
  <w:num w:numId="19">
    <w:abstractNumId w:val="1"/>
  </w:num>
  <w:num w:numId="20">
    <w:abstractNumId w:val="10"/>
  </w:num>
  <w:num w:numId="21">
    <w:abstractNumId w:val="12"/>
  </w:num>
  <w:num w:numId="22">
    <w:abstractNumId w:val="2"/>
  </w:num>
  <w:num w:numId="23">
    <w:abstractNumId w:val="29"/>
  </w:num>
  <w:num w:numId="24">
    <w:abstractNumId w:val="17"/>
  </w:num>
  <w:num w:numId="25">
    <w:abstractNumId w:val="36"/>
  </w:num>
  <w:num w:numId="26">
    <w:abstractNumId w:val="35"/>
  </w:num>
  <w:num w:numId="27">
    <w:abstractNumId w:val="21"/>
  </w:num>
  <w:num w:numId="28">
    <w:abstractNumId w:val="27"/>
  </w:num>
  <w:num w:numId="29">
    <w:abstractNumId w:val="6"/>
  </w:num>
  <w:num w:numId="30">
    <w:abstractNumId w:val="23"/>
  </w:num>
  <w:num w:numId="31">
    <w:abstractNumId w:val="28"/>
  </w:num>
  <w:num w:numId="32">
    <w:abstractNumId w:val="22"/>
  </w:num>
  <w:num w:numId="33">
    <w:abstractNumId w:val="8"/>
  </w:num>
  <w:num w:numId="34">
    <w:abstractNumId w:val="14"/>
  </w:num>
  <w:num w:numId="35">
    <w:abstractNumId w:val="11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ED"/>
    <w:rsid w:val="00006AB3"/>
    <w:rsid w:val="000420B1"/>
    <w:rsid w:val="0004683D"/>
    <w:rsid w:val="00054431"/>
    <w:rsid w:val="000552BF"/>
    <w:rsid w:val="000568C0"/>
    <w:rsid w:val="000749CA"/>
    <w:rsid w:val="00076611"/>
    <w:rsid w:val="00095EBB"/>
    <w:rsid w:val="00097E50"/>
    <w:rsid w:val="000A362F"/>
    <w:rsid w:val="000A390B"/>
    <w:rsid w:val="000C0EF7"/>
    <w:rsid w:val="000C2984"/>
    <w:rsid w:val="000C6E14"/>
    <w:rsid w:val="000E3AD5"/>
    <w:rsid w:val="000F6AAB"/>
    <w:rsid w:val="000F745A"/>
    <w:rsid w:val="00100AC4"/>
    <w:rsid w:val="00113405"/>
    <w:rsid w:val="00126132"/>
    <w:rsid w:val="00136D2D"/>
    <w:rsid w:val="00153958"/>
    <w:rsid w:val="00163654"/>
    <w:rsid w:val="001803B1"/>
    <w:rsid w:val="00193C91"/>
    <w:rsid w:val="001A3BFA"/>
    <w:rsid w:val="001C598E"/>
    <w:rsid w:val="001F08E0"/>
    <w:rsid w:val="001F6361"/>
    <w:rsid w:val="0022111B"/>
    <w:rsid w:val="002377A7"/>
    <w:rsid w:val="00240B7D"/>
    <w:rsid w:val="0024728E"/>
    <w:rsid w:val="00251C4E"/>
    <w:rsid w:val="002605F9"/>
    <w:rsid w:val="002728EC"/>
    <w:rsid w:val="0029462A"/>
    <w:rsid w:val="002A5ED0"/>
    <w:rsid w:val="002A68DF"/>
    <w:rsid w:val="002A7268"/>
    <w:rsid w:val="0030018B"/>
    <w:rsid w:val="0031108C"/>
    <w:rsid w:val="00311E7A"/>
    <w:rsid w:val="00336577"/>
    <w:rsid w:val="003406B0"/>
    <w:rsid w:val="00340DF8"/>
    <w:rsid w:val="003445DC"/>
    <w:rsid w:val="003521B1"/>
    <w:rsid w:val="0036371A"/>
    <w:rsid w:val="00380F46"/>
    <w:rsid w:val="003827E3"/>
    <w:rsid w:val="0038536B"/>
    <w:rsid w:val="00392FCF"/>
    <w:rsid w:val="003962C6"/>
    <w:rsid w:val="003979EA"/>
    <w:rsid w:val="003B10F6"/>
    <w:rsid w:val="003B5904"/>
    <w:rsid w:val="003B620B"/>
    <w:rsid w:val="003C2379"/>
    <w:rsid w:val="003C3C1B"/>
    <w:rsid w:val="003C7AA5"/>
    <w:rsid w:val="003D5B9E"/>
    <w:rsid w:val="003E4054"/>
    <w:rsid w:val="00410221"/>
    <w:rsid w:val="00411E03"/>
    <w:rsid w:val="0041589B"/>
    <w:rsid w:val="00416ADF"/>
    <w:rsid w:val="0042365D"/>
    <w:rsid w:val="00445ED5"/>
    <w:rsid w:val="00447668"/>
    <w:rsid w:val="00451B22"/>
    <w:rsid w:val="0045486E"/>
    <w:rsid w:val="00460540"/>
    <w:rsid w:val="00464160"/>
    <w:rsid w:val="004A1B33"/>
    <w:rsid w:val="004A3357"/>
    <w:rsid w:val="004B39A4"/>
    <w:rsid w:val="004B5A39"/>
    <w:rsid w:val="004D53EE"/>
    <w:rsid w:val="004D7EBB"/>
    <w:rsid w:val="004E17B8"/>
    <w:rsid w:val="004E39D5"/>
    <w:rsid w:val="004F0A68"/>
    <w:rsid w:val="004F0FFD"/>
    <w:rsid w:val="004F36B5"/>
    <w:rsid w:val="00533EBC"/>
    <w:rsid w:val="00543D52"/>
    <w:rsid w:val="005442A2"/>
    <w:rsid w:val="00545000"/>
    <w:rsid w:val="0055185C"/>
    <w:rsid w:val="00556996"/>
    <w:rsid w:val="00561E95"/>
    <w:rsid w:val="0056705B"/>
    <w:rsid w:val="00570665"/>
    <w:rsid w:val="005768BA"/>
    <w:rsid w:val="00587756"/>
    <w:rsid w:val="00592A2A"/>
    <w:rsid w:val="00596136"/>
    <w:rsid w:val="0059727B"/>
    <w:rsid w:val="005B1321"/>
    <w:rsid w:val="005B13F0"/>
    <w:rsid w:val="005C0DC8"/>
    <w:rsid w:val="005C7844"/>
    <w:rsid w:val="005D168C"/>
    <w:rsid w:val="005D6F4D"/>
    <w:rsid w:val="005E5312"/>
    <w:rsid w:val="005E7BE1"/>
    <w:rsid w:val="005F44C2"/>
    <w:rsid w:val="006073A4"/>
    <w:rsid w:val="00611D54"/>
    <w:rsid w:val="00612940"/>
    <w:rsid w:val="0061745C"/>
    <w:rsid w:val="00620CE2"/>
    <w:rsid w:val="006359C6"/>
    <w:rsid w:val="00663CF4"/>
    <w:rsid w:val="00666A7D"/>
    <w:rsid w:val="00693ACF"/>
    <w:rsid w:val="006B0860"/>
    <w:rsid w:val="006C6AF6"/>
    <w:rsid w:val="006D4B16"/>
    <w:rsid w:val="006E4FF9"/>
    <w:rsid w:val="00714203"/>
    <w:rsid w:val="007201A7"/>
    <w:rsid w:val="007226EE"/>
    <w:rsid w:val="0072468B"/>
    <w:rsid w:val="00733FC9"/>
    <w:rsid w:val="00735F47"/>
    <w:rsid w:val="007367F9"/>
    <w:rsid w:val="007424E3"/>
    <w:rsid w:val="00745ECC"/>
    <w:rsid w:val="00750D82"/>
    <w:rsid w:val="007A2F42"/>
    <w:rsid w:val="007A6062"/>
    <w:rsid w:val="007C0427"/>
    <w:rsid w:val="007D43EE"/>
    <w:rsid w:val="007D690C"/>
    <w:rsid w:val="007E1230"/>
    <w:rsid w:val="007E20D5"/>
    <w:rsid w:val="007E3D82"/>
    <w:rsid w:val="007E528D"/>
    <w:rsid w:val="00823193"/>
    <w:rsid w:val="008237D7"/>
    <w:rsid w:val="00825D17"/>
    <w:rsid w:val="00837877"/>
    <w:rsid w:val="0084651C"/>
    <w:rsid w:val="00865257"/>
    <w:rsid w:val="00870B62"/>
    <w:rsid w:val="00877789"/>
    <w:rsid w:val="00887BB0"/>
    <w:rsid w:val="00893AED"/>
    <w:rsid w:val="008A0BEB"/>
    <w:rsid w:val="008A0F59"/>
    <w:rsid w:val="008A397A"/>
    <w:rsid w:val="008A42C8"/>
    <w:rsid w:val="008A4EC6"/>
    <w:rsid w:val="008D2EFA"/>
    <w:rsid w:val="00911657"/>
    <w:rsid w:val="0095672A"/>
    <w:rsid w:val="009627A0"/>
    <w:rsid w:val="00964EDB"/>
    <w:rsid w:val="00985F64"/>
    <w:rsid w:val="00993961"/>
    <w:rsid w:val="009A37B4"/>
    <w:rsid w:val="009B040D"/>
    <w:rsid w:val="009C1D0A"/>
    <w:rsid w:val="009D5A0F"/>
    <w:rsid w:val="009D7F9A"/>
    <w:rsid w:val="009E17C5"/>
    <w:rsid w:val="009F42B9"/>
    <w:rsid w:val="00A1433F"/>
    <w:rsid w:val="00A30765"/>
    <w:rsid w:val="00A33F00"/>
    <w:rsid w:val="00A3716D"/>
    <w:rsid w:val="00A7032B"/>
    <w:rsid w:val="00A74FFB"/>
    <w:rsid w:val="00A75CB9"/>
    <w:rsid w:val="00A978A6"/>
    <w:rsid w:val="00AB54B6"/>
    <w:rsid w:val="00AC1609"/>
    <w:rsid w:val="00AC5CB9"/>
    <w:rsid w:val="00AF17AF"/>
    <w:rsid w:val="00B00663"/>
    <w:rsid w:val="00B13D00"/>
    <w:rsid w:val="00B16EE4"/>
    <w:rsid w:val="00B27909"/>
    <w:rsid w:val="00B4519C"/>
    <w:rsid w:val="00B467B6"/>
    <w:rsid w:val="00B546A0"/>
    <w:rsid w:val="00B55CD8"/>
    <w:rsid w:val="00B60AEF"/>
    <w:rsid w:val="00B615EE"/>
    <w:rsid w:val="00B67AA2"/>
    <w:rsid w:val="00B720AC"/>
    <w:rsid w:val="00B906E3"/>
    <w:rsid w:val="00B94C20"/>
    <w:rsid w:val="00B96E62"/>
    <w:rsid w:val="00BB4FAB"/>
    <w:rsid w:val="00BC3241"/>
    <w:rsid w:val="00BE140B"/>
    <w:rsid w:val="00BF300D"/>
    <w:rsid w:val="00BF3B94"/>
    <w:rsid w:val="00BF62A3"/>
    <w:rsid w:val="00C001DD"/>
    <w:rsid w:val="00C030B7"/>
    <w:rsid w:val="00C23782"/>
    <w:rsid w:val="00C248C7"/>
    <w:rsid w:val="00C34F8E"/>
    <w:rsid w:val="00C633FA"/>
    <w:rsid w:val="00C650ED"/>
    <w:rsid w:val="00C832FB"/>
    <w:rsid w:val="00C84E58"/>
    <w:rsid w:val="00C95E42"/>
    <w:rsid w:val="00CA3C58"/>
    <w:rsid w:val="00CE126A"/>
    <w:rsid w:val="00CE5140"/>
    <w:rsid w:val="00CE5790"/>
    <w:rsid w:val="00CF52F5"/>
    <w:rsid w:val="00D00A34"/>
    <w:rsid w:val="00D1071C"/>
    <w:rsid w:val="00D2028F"/>
    <w:rsid w:val="00D32289"/>
    <w:rsid w:val="00D37358"/>
    <w:rsid w:val="00D42FBA"/>
    <w:rsid w:val="00D505A1"/>
    <w:rsid w:val="00D75730"/>
    <w:rsid w:val="00D816A0"/>
    <w:rsid w:val="00D84308"/>
    <w:rsid w:val="00D852ED"/>
    <w:rsid w:val="00DA2708"/>
    <w:rsid w:val="00DC42B6"/>
    <w:rsid w:val="00DE002B"/>
    <w:rsid w:val="00DE3DE6"/>
    <w:rsid w:val="00DF2A67"/>
    <w:rsid w:val="00DF65CC"/>
    <w:rsid w:val="00DF7428"/>
    <w:rsid w:val="00E040FB"/>
    <w:rsid w:val="00E124E9"/>
    <w:rsid w:val="00E20B23"/>
    <w:rsid w:val="00E3360A"/>
    <w:rsid w:val="00E50CCB"/>
    <w:rsid w:val="00E61668"/>
    <w:rsid w:val="00E64C9A"/>
    <w:rsid w:val="00E708E6"/>
    <w:rsid w:val="00E71851"/>
    <w:rsid w:val="00E728C6"/>
    <w:rsid w:val="00E819CC"/>
    <w:rsid w:val="00E90125"/>
    <w:rsid w:val="00E93679"/>
    <w:rsid w:val="00E95CB5"/>
    <w:rsid w:val="00EB7E66"/>
    <w:rsid w:val="00EE2059"/>
    <w:rsid w:val="00EF40B0"/>
    <w:rsid w:val="00F26B4B"/>
    <w:rsid w:val="00F27182"/>
    <w:rsid w:val="00F35C25"/>
    <w:rsid w:val="00F420FB"/>
    <w:rsid w:val="00F52B17"/>
    <w:rsid w:val="00F57C21"/>
    <w:rsid w:val="00F63A38"/>
    <w:rsid w:val="00F63B0C"/>
    <w:rsid w:val="00F71A1D"/>
    <w:rsid w:val="00F74E9E"/>
    <w:rsid w:val="00F91AD0"/>
    <w:rsid w:val="00F9569D"/>
    <w:rsid w:val="00FA13AA"/>
    <w:rsid w:val="00FA39EB"/>
    <w:rsid w:val="00FB0A17"/>
    <w:rsid w:val="00FB5E76"/>
    <w:rsid w:val="00FC7DEE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unhideWhenUsed/>
    <w:qFormat/>
    <w:rsid w:val="00985F64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650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A3357"/>
    <w:pPr>
      <w:ind w:left="720"/>
      <w:contextualSpacing/>
    </w:pPr>
  </w:style>
  <w:style w:type="numbering" w:customStyle="1" w:styleId="Style1">
    <w:name w:val="Style1"/>
    <w:uiPriority w:val="99"/>
    <w:rsid w:val="00F52B1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64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98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85F64"/>
    <w:rPr>
      <w:rFonts w:ascii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7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link w:val="Heading2Char"/>
    <w:uiPriority w:val="9"/>
    <w:unhideWhenUsed/>
    <w:qFormat/>
    <w:rsid w:val="00985F64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650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A3357"/>
    <w:pPr>
      <w:ind w:left="720"/>
      <w:contextualSpacing/>
    </w:pPr>
  </w:style>
  <w:style w:type="numbering" w:customStyle="1" w:styleId="Style1">
    <w:name w:val="Style1"/>
    <w:uiPriority w:val="99"/>
    <w:rsid w:val="00F52B1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64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98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85F64"/>
    <w:rPr>
      <w:rFonts w:ascii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7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B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B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DE56B-FC73-4F88-A6D7-6895FE8B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2022-04-12T11:09:00Z</cp:lastPrinted>
  <dcterms:created xsi:type="dcterms:W3CDTF">2022-04-12T11:39:00Z</dcterms:created>
  <dcterms:modified xsi:type="dcterms:W3CDTF">2022-04-14T15:39:00Z</dcterms:modified>
</cp:coreProperties>
</file>